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7A" w:rsidRPr="00887AFD" w:rsidRDefault="007A5C56" w:rsidP="009F05CD">
      <w:pPr>
        <w:pStyle w:val="Web"/>
        <w:pBdr>
          <w:bottom w:val="thickThinSmallGap" w:sz="24" w:space="1" w:color="7030A0"/>
        </w:pBdr>
        <w:spacing w:before="0" w:beforeAutospacing="0" w:after="360" w:afterAutospacing="0" w:line="800" w:lineRule="exact"/>
        <w:ind w:left="-1134" w:right="-1134"/>
        <w:jc w:val="center"/>
        <w:textAlignment w:val="top"/>
        <w:rPr>
          <w:rFonts w:ascii="微軟正黑體" w:eastAsia="微軟正黑體" w:hAnsi="微軟正黑體" w:cs="新細明體"/>
          <w:b/>
          <w:color w:val="C0DCC0" w:themeColor="background1"/>
          <w:sz w:val="22"/>
          <w:szCs w:val="20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CD">
        <w:rPr>
          <w:rFonts w:ascii="微軟正黑體" w:eastAsia="微軟正黑體" w:hAnsi="微軟正黑體" w:cs="微軟正黑體" w:hint="eastAsia"/>
          <w:b/>
          <w:color w:val="002060"/>
          <w:w w:val="90"/>
          <w:position w:val="-10"/>
          <w:sz w:val="52"/>
          <w:szCs w:val="45"/>
          <w:vertAlign w:val="superscript"/>
          <w:lang w:eastAsia="zh-TW"/>
        </w:rPr>
        <w:t>全面朝</w:t>
      </w:r>
      <w:r w:rsidRPr="00115AB6">
        <w:rPr>
          <w:rFonts w:ascii="微軟正黑體" w:eastAsia="微軟正黑體" w:hAnsi="微軟正黑體" w:cs="微軟正黑體" w:hint="eastAsia"/>
          <w:b/>
          <w:color w:val="C0DCC0" w:themeColor="background1"/>
          <w:w w:val="90"/>
          <w:position w:val="-10"/>
          <w:sz w:val="52"/>
          <w:szCs w:val="45"/>
          <w:highlight w:val="darkMagenta"/>
          <w:vertAlign w:val="superscript"/>
          <w:lang w:eastAsia="zh-TW"/>
        </w:rPr>
        <w:t>數位化</w:t>
      </w:r>
      <w:r w:rsidRPr="009F05CD">
        <w:rPr>
          <w:rFonts w:ascii="微軟正黑體" w:eastAsia="微軟正黑體" w:hAnsi="微軟正黑體" w:cs="微軟正黑體" w:hint="eastAsia"/>
          <w:b/>
          <w:color w:val="002060"/>
          <w:w w:val="90"/>
          <w:position w:val="-10"/>
          <w:sz w:val="52"/>
          <w:szCs w:val="45"/>
          <w:vertAlign w:val="superscript"/>
          <w:lang w:eastAsia="zh-TW"/>
        </w:rPr>
        <w:t>邁進</w:t>
      </w:r>
      <w:r w:rsidR="00887AFD" w:rsidRPr="009F05CD">
        <w:rPr>
          <w:rFonts w:ascii="微軟正黑體" w:eastAsia="微軟正黑體" w:hAnsi="微軟正黑體" w:cs="微軟正黑體" w:hint="eastAsia"/>
          <w:b/>
          <w:color w:val="002060"/>
          <w:w w:val="90"/>
          <w:sz w:val="52"/>
          <w:szCs w:val="45"/>
          <w:vertAlign w:val="superscript"/>
          <w:lang w:eastAsia="zh-TW"/>
        </w:rPr>
        <w:t xml:space="preserve"> </w:t>
      </w:r>
      <w:r w:rsidR="00441A7A" w:rsidRPr="00115AB6">
        <w:rPr>
          <w:rFonts w:ascii="Arial" w:eastAsia="微軟正黑體" w:hAnsi="Arial" w:cs="Arial"/>
          <w:b/>
          <w:color w:val="002060"/>
          <w:spacing w:val="1"/>
          <w:w w:val="75"/>
          <w:sz w:val="52"/>
          <w:szCs w:val="45"/>
          <w:fitText w:val="5670" w:id="1735475715"/>
          <w:lang w:eastAsia="zh-TW"/>
        </w:rPr>
        <w:t>2018</w:t>
      </w:r>
      <w:r w:rsidR="00441A7A" w:rsidRPr="00115AB6">
        <w:rPr>
          <w:rFonts w:ascii="微軟正黑體" w:eastAsia="微軟正黑體" w:hAnsi="微軟正黑體" w:cs="微軟正黑體" w:hint="eastAsia"/>
          <w:b/>
          <w:color w:val="002060"/>
          <w:spacing w:val="1"/>
          <w:w w:val="75"/>
          <w:sz w:val="52"/>
          <w:szCs w:val="45"/>
          <w:fitText w:val="5670" w:id="1735475715"/>
          <w:lang w:eastAsia="zh-TW"/>
        </w:rPr>
        <w:t>年科技業</w:t>
      </w:r>
      <w:r w:rsidR="00441A7A" w:rsidRPr="00115AB6">
        <w:rPr>
          <w:rFonts w:ascii="微軟正黑體" w:eastAsia="微軟正黑體" w:hAnsi="微軟正黑體" w:cs="微軟正黑體" w:hint="eastAsia"/>
          <w:b/>
          <w:color w:val="C0DCC0" w:themeColor="background1"/>
          <w:spacing w:val="1"/>
          <w:w w:val="75"/>
          <w:sz w:val="52"/>
          <w:szCs w:val="45"/>
          <w:highlight w:val="darkMagenta"/>
          <w:fitText w:val="5670" w:id="1735475715"/>
          <w:lang w:eastAsia="zh-TW"/>
        </w:rPr>
        <w:t>十大重點趨勢</w:t>
      </w:r>
      <w:r w:rsidR="00747534" w:rsidRPr="00115AB6">
        <w:rPr>
          <w:rFonts w:ascii="微軟正黑體" w:eastAsia="微軟正黑體" w:hAnsi="微軟正黑體" w:cs="微軟正黑體" w:hint="eastAsia"/>
          <w:b/>
          <w:color w:val="002060"/>
          <w:spacing w:val="1"/>
          <w:w w:val="75"/>
          <w:sz w:val="52"/>
          <w:szCs w:val="45"/>
          <w:fitText w:val="5670" w:id="1735475715"/>
          <w:lang w:eastAsia="zh-TW"/>
        </w:rPr>
        <w:t>觀</w:t>
      </w:r>
      <w:r w:rsidR="00747534" w:rsidRPr="00115AB6">
        <w:rPr>
          <w:rFonts w:ascii="微軟正黑體" w:eastAsia="微軟正黑體" w:hAnsi="微軟正黑體" w:cs="微軟正黑體" w:hint="eastAsia"/>
          <w:b/>
          <w:color w:val="002060"/>
          <w:w w:val="75"/>
          <w:sz w:val="52"/>
          <w:szCs w:val="45"/>
          <w:fitText w:val="5670" w:id="1735475715"/>
          <w:lang w:eastAsia="zh-TW"/>
        </w:rPr>
        <w:t>察</w:t>
      </w:r>
      <w:r w:rsidR="00605A99">
        <w:rPr>
          <w:rFonts w:ascii="微軟正黑體" w:eastAsia="微軟正黑體" w:hAnsi="微軟正黑體" w:cs="新細明體"/>
          <w:b/>
          <w:noProof/>
          <w:color w:val="C0DCC0" w:themeColor="background1"/>
          <w:sz w:val="22"/>
          <w:szCs w:val="20"/>
          <w:lang w:eastAsia="zh-TW"/>
        </w:rPr>
        <w:drawing>
          <wp:inline distT="0" distB="0" distL="0" distR="0">
            <wp:extent cx="659190" cy="648000"/>
            <wp:effectExtent l="0" t="0" r="762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9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7030A0"/>
          <w:insideV w:val="single" w:sz="8" w:space="0" w:color="7030A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1806"/>
        <w:gridCol w:w="1806"/>
        <w:gridCol w:w="1806"/>
        <w:gridCol w:w="1814"/>
      </w:tblGrid>
      <w:tr w:rsidR="00090B5E" w:rsidTr="008600B9">
        <w:trPr>
          <w:trHeight w:hRule="exact" w:val="1134"/>
          <w:tblCellSpacing w:w="28" w:type="dxa"/>
          <w:jc w:val="center"/>
        </w:trPr>
        <w:tc>
          <w:tcPr>
            <w:tcW w:w="1701" w:type="dxa"/>
            <w:vAlign w:val="center"/>
          </w:tcPr>
          <w:p w:rsidR="0005549F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1D1D1D"/>
                <w:sz w:val="20"/>
                <w:szCs w:val="20"/>
                <w:lang w:eastAsia="zh-TW"/>
              </w:rPr>
            </w:pPr>
            <w:r>
              <w:rPr>
                <w:rFonts w:ascii="微軟正黑體" w:eastAsia="微軟正黑體" w:hAnsi="微軟正黑體"/>
                <w:noProof/>
                <w:color w:val="1D1D1D"/>
                <w:sz w:val="20"/>
                <w:szCs w:val="20"/>
                <w:lang w:eastAsia="zh-TW"/>
              </w:rPr>
              <w:drawing>
                <wp:inline distT="0" distB="0" distL="0" distR="0" wp14:anchorId="18565933">
                  <wp:extent cx="1082040" cy="700944"/>
                  <wp:effectExtent l="0" t="0" r="3810" b="4445"/>
                  <wp:docPr id="56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5549F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1D1D1D"/>
                <w:sz w:val="20"/>
                <w:szCs w:val="20"/>
                <w:lang w:eastAsia="zh-TW"/>
              </w:rPr>
            </w:pPr>
            <w:r>
              <w:rPr>
                <w:rFonts w:ascii="微軟正黑體" w:eastAsia="微軟正黑體" w:hAnsi="微軟正黑體"/>
                <w:noProof/>
                <w:color w:val="1D1D1D"/>
                <w:sz w:val="20"/>
                <w:szCs w:val="20"/>
                <w:lang w:eastAsia="zh-TW"/>
              </w:rPr>
              <w:drawing>
                <wp:inline distT="0" distB="0" distL="0" distR="0" wp14:anchorId="6093307B">
                  <wp:extent cx="1082040" cy="703155"/>
                  <wp:effectExtent l="0" t="0" r="3810" b="1905"/>
                  <wp:docPr id="57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3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5549F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1D1D1D"/>
                <w:sz w:val="20"/>
                <w:szCs w:val="20"/>
                <w:lang w:eastAsia="zh-TW"/>
              </w:rPr>
            </w:pPr>
            <w:r>
              <w:rPr>
                <w:rFonts w:ascii="微軟正黑體" w:eastAsia="微軟正黑體" w:hAnsi="微軟正黑體"/>
                <w:noProof/>
                <w:color w:val="1D1D1D"/>
                <w:sz w:val="20"/>
                <w:szCs w:val="20"/>
                <w:lang w:eastAsia="zh-TW"/>
              </w:rPr>
              <w:drawing>
                <wp:inline distT="0" distB="0" distL="0" distR="0" wp14:anchorId="4265ABAA">
                  <wp:extent cx="1082040" cy="693346"/>
                  <wp:effectExtent l="0" t="0" r="3810" b="0"/>
                  <wp:docPr id="5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6933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5549F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1D1D1D"/>
                <w:sz w:val="20"/>
                <w:szCs w:val="20"/>
                <w:lang w:eastAsia="zh-TW"/>
              </w:rPr>
            </w:pPr>
            <w:r>
              <w:rPr>
                <w:rFonts w:ascii="微軟正黑體" w:eastAsia="微軟正黑體" w:hAnsi="微軟正黑體"/>
                <w:noProof/>
                <w:color w:val="1D1D1D"/>
                <w:sz w:val="20"/>
                <w:szCs w:val="20"/>
                <w:lang w:eastAsia="zh-TW"/>
              </w:rPr>
              <w:drawing>
                <wp:inline distT="0" distB="0" distL="0" distR="0" wp14:anchorId="70A0F66C">
                  <wp:extent cx="1082040" cy="702623"/>
                  <wp:effectExtent l="0" t="0" r="3810" b="2540"/>
                  <wp:docPr id="60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26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5549F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1D1D1D"/>
                <w:sz w:val="20"/>
                <w:szCs w:val="20"/>
                <w:lang w:eastAsia="zh-TW"/>
              </w:rPr>
            </w:pPr>
            <w:r>
              <w:rPr>
                <w:rFonts w:ascii="微軟正黑體" w:eastAsia="微軟正黑體" w:hAnsi="微軟正黑體"/>
                <w:noProof/>
                <w:color w:val="1D1D1D"/>
                <w:sz w:val="20"/>
                <w:szCs w:val="20"/>
                <w:lang w:eastAsia="zh-TW"/>
              </w:rPr>
              <w:drawing>
                <wp:inline distT="0" distB="0" distL="0" distR="0" wp14:anchorId="24552B4C">
                  <wp:extent cx="1082040" cy="698090"/>
                  <wp:effectExtent l="0" t="0" r="3810" b="6985"/>
                  <wp:docPr id="61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698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1C3" w:rsidRPr="008051C3" w:rsidTr="008600B9">
        <w:trPr>
          <w:trHeight w:hRule="exact" w:val="312"/>
          <w:tblCellSpacing w:w="28" w:type="dxa"/>
          <w:jc w:val="center"/>
        </w:trPr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5</w:t>
            </w:r>
          </w:p>
        </w:tc>
      </w:tr>
      <w:tr w:rsidR="008051C3" w:rsidRPr="008051C3" w:rsidTr="008600B9">
        <w:trPr>
          <w:trHeight w:hRule="exact" w:val="1134"/>
          <w:tblCellSpacing w:w="28" w:type="dxa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05549F" w:rsidRPr="008051C3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微軟正黑體" w:eastAsia="微軟正黑體" w:hAnsi="微軟正黑體"/>
                <w:noProof/>
                <w:color w:val="002060"/>
                <w:sz w:val="20"/>
                <w:szCs w:val="20"/>
                <w:lang w:eastAsia="zh-TW"/>
              </w:rPr>
              <w:drawing>
                <wp:inline distT="0" distB="0" distL="0" distR="0" wp14:anchorId="17BE045B">
                  <wp:extent cx="1082040" cy="700944"/>
                  <wp:effectExtent l="0" t="0" r="3810" b="4445"/>
                  <wp:docPr id="62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549F" w:rsidRPr="008051C3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微軟正黑體" w:eastAsia="微軟正黑體" w:hAnsi="微軟正黑體"/>
                <w:noProof/>
                <w:color w:val="002060"/>
                <w:sz w:val="20"/>
                <w:szCs w:val="20"/>
                <w:lang w:eastAsia="zh-TW"/>
              </w:rPr>
              <w:drawing>
                <wp:inline distT="0" distB="0" distL="0" distR="0" wp14:anchorId="506920FA">
                  <wp:extent cx="1082040" cy="700944"/>
                  <wp:effectExtent l="0" t="0" r="3810" b="4445"/>
                  <wp:docPr id="63" name="圖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549F" w:rsidRPr="008051C3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微軟正黑體" w:eastAsia="微軟正黑體" w:hAnsi="微軟正黑體"/>
                <w:noProof/>
                <w:color w:val="002060"/>
                <w:sz w:val="20"/>
                <w:szCs w:val="20"/>
                <w:lang w:eastAsia="zh-TW"/>
              </w:rPr>
              <w:drawing>
                <wp:inline distT="0" distB="0" distL="0" distR="0" wp14:anchorId="223BCA49">
                  <wp:extent cx="1082040" cy="700944"/>
                  <wp:effectExtent l="0" t="0" r="3810" b="4445"/>
                  <wp:docPr id="64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549F" w:rsidRPr="008051C3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微軟正黑體" w:eastAsia="微軟正黑體" w:hAnsi="微軟正黑體"/>
                <w:noProof/>
                <w:color w:val="002060"/>
                <w:sz w:val="20"/>
                <w:szCs w:val="20"/>
                <w:lang w:eastAsia="zh-TW"/>
              </w:rPr>
              <w:drawing>
                <wp:inline distT="0" distB="0" distL="0" distR="0" wp14:anchorId="4E14756C">
                  <wp:extent cx="1082040" cy="700944"/>
                  <wp:effectExtent l="0" t="0" r="3810" b="4445"/>
                  <wp:docPr id="65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549F" w:rsidRPr="008051C3" w:rsidRDefault="00FB61E1" w:rsidP="008600B9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微軟正黑體" w:eastAsia="微軟正黑體" w:hAnsi="微軟正黑體"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微軟正黑體" w:eastAsia="微軟正黑體" w:hAnsi="微軟正黑體"/>
                <w:noProof/>
                <w:color w:val="002060"/>
                <w:sz w:val="20"/>
                <w:szCs w:val="20"/>
                <w:lang w:eastAsia="zh-TW"/>
              </w:rPr>
              <w:drawing>
                <wp:inline distT="0" distB="0" distL="0" distR="0" wp14:anchorId="0EED9D13">
                  <wp:extent cx="1082040" cy="700944"/>
                  <wp:effectExtent l="0" t="0" r="3810" b="4445"/>
                  <wp:docPr id="66" name="圖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700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1C3" w:rsidRPr="008051C3" w:rsidTr="008600B9">
        <w:trPr>
          <w:trHeight w:hRule="exact" w:val="312"/>
          <w:tblCellSpacing w:w="28" w:type="dxa"/>
          <w:jc w:val="center"/>
        </w:trPr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bookmarkStart w:id="0" w:name="_GoBack" w:colFirst="0" w:colLast="4"/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1701" w:type="dxa"/>
            <w:shd w:val="clear" w:color="auto" w:fill="C0DCC0" w:themeFill="background1"/>
            <w:vAlign w:val="center"/>
          </w:tcPr>
          <w:p w:rsidR="0005549F" w:rsidRPr="008051C3" w:rsidRDefault="00A31258" w:rsidP="007332A3">
            <w:pPr>
              <w:pStyle w:val="Web"/>
              <w:spacing w:before="0" w:beforeAutospacing="0" w:after="0" w:afterAutospacing="0" w:line="240" w:lineRule="exact"/>
              <w:jc w:val="center"/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</w:pP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趨勢</w:t>
            </w:r>
            <w:r w:rsidRPr="008051C3">
              <w:rPr>
                <w:rFonts w:ascii="Arial" w:eastAsia="微軟正黑體" w:hAnsi="Arial" w:cs="Arial"/>
                <w:b/>
                <w:color w:val="002060"/>
                <w:sz w:val="20"/>
                <w:szCs w:val="20"/>
                <w:lang w:eastAsia="zh-TW"/>
              </w:rPr>
              <w:t>10</w:t>
            </w:r>
          </w:p>
        </w:tc>
      </w:tr>
    </w:tbl>
    <w:bookmarkEnd w:id="0"/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t>科技無所不在 產業掀數位化浪潮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15EFDB7" wp14:editId="44383E28">
            <wp:extent cx="266265" cy="360000"/>
            <wp:effectExtent l="0" t="0" r="635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>
      <w:pPr>
        <w:rPr>
          <w:rFonts w:ascii="微軟正黑體" w:eastAsia="微軟正黑體" w:hAnsi="微軟正黑體" w:cs="新細明體"/>
          <w:color w:val="002060"/>
          <w:sz w:val="22"/>
          <w:szCs w:val="20"/>
        </w:rPr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DC12CD" w:rsidP="00747534">
      <w:pPr>
        <w:jc w:val="right"/>
        <w:textAlignment w:val="center"/>
        <w:rPr>
          <w:rFonts w:ascii="微軟正黑體" w:eastAsia="微軟正黑體" w:hAnsi="微軟正黑體" w:cs="新細明體"/>
          <w:color w:val="002060"/>
          <w:sz w:val="22"/>
          <w:szCs w:val="20"/>
        </w:rPr>
      </w:pPr>
      <w:r>
        <w:rPr>
          <w:rFonts w:ascii="微軟正黑體" w:eastAsia="微軟正黑體" w:hAnsi="微軟正黑體" w:cs="新細明體"/>
          <w:noProof/>
          <w:color w:val="002060"/>
          <w:sz w:val="22"/>
          <w:szCs w:val="20"/>
        </w:rPr>
        <w:lastRenderedPageBreak/>
        <w:drawing>
          <wp:inline distT="0" distB="0" distL="0" distR="0" wp14:anchorId="778D05E3">
            <wp:extent cx="1798320" cy="1082040"/>
            <wp:effectExtent l="0" t="0" r="0" b="3810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面對科技深刻融入各個產業，各行各業加速推動數位轉型，已是企業發展的重心，朝向成為「數位原生企業」已是未來企業發展的重要方向。</w:t>
      </w:r>
    </w:p>
    <w:p w:rsidR="00747534" w:rsidRDefault="00747534" w:rsidP="001C341B">
      <w:pPr>
        <w:jc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Default="00441A7A" w:rsidP="00037FC4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數位轉型加劇</w:t>
      </w:r>
      <w:r w:rsidRPr="007517AD">
        <w:t xml:space="preserve"> </w:t>
      </w:r>
      <w:r w:rsidRPr="007517AD">
        <w:rPr>
          <w:rFonts w:hint="eastAsia"/>
        </w:rPr>
        <w:t>引爆虛擬經濟商機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 w:rsidP="00747534">
      <w:pPr>
        <w:jc w:val="right"/>
        <w:textAlignment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2427DE1A">
            <wp:extent cx="1798320" cy="1082040"/>
            <wp:effectExtent l="0" t="0" r="0" b="381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Pr="00747534" w:rsidRDefault="00747534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隨著資訊科技帶動整體商業市場的變遷，數位化、線上與虛擬的經濟市場也正快速引爆。 未來「創造新商業模式的能力」將是競爭的關鍵。</w:t>
      </w:r>
    </w:p>
    <w:p w:rsidR="00747534" w:rsidRDefault="00747534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lastRenderedPageBreak/>
        <w:t xml:space="preserve">AI </w:t>
      </w:r>
      <w:r w:rsidRPr="007517AD">
        <w:rPr>
          <w:rFonts w:hint="eastAsia"/>
        </w:rPr>
        <w:t>終端市場大爆發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474AD461" wp14:editId="1CC26A4D">
            <wp:extent cx="266265" cy="360000"/>
            <wp:effectExtent l="0" t="0" r="635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 w:rsidP="00747534">
      <w:pPr>
        <w:jc w:val="right"/>
        <w:textAlignment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Pr="00880DDA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3CB0152F">
            <wp:extent cx="1798320" cy="1082040"/>
            <wp:effectExtent l="0" t="0" r="0" b="3810"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在技術趨勢方面，AI 牽動科技產業與各行各業最關鍵的技術，尤其AI 終端需求的大爆發，不僅將對科技產業帶來莫大商機，更將使AI 應用加速融入人們的生活之中。</w:t>
      </w:r>
    </w:p>
    <w:p w:rsidR="00747534" w:rsidRDefault="00747534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區塊鏈加速往前推進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 w:rsidP="00747534">
      <w:pPr>
        <w:jc w:val="right"/>
        <w:textAlignment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6D82FB1C">
            <wp:extent cx="1798320" cy="1082040"/>
            <wp:effectExtent l="0" t="0" r="0" b="3810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終端設備將由「行動至上」進化為「AI 至上」，藉由蒐集與學習使用者的習慣，搭配終端自身就能處理的計算能力，進而讓設備的各項功能和運作更加到位與快速反應。</w:t>
      </w:r>
    </w:p>
    <w:p w:rsidR="00747534" w:rsidRDefault="00747534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lastRenderedPageBreak/>
        <w:t>5G</w:t>
      </w:r>
      <w:r w:rsidRPr="007517AD">
        <w:rPr>
          <w:rFonts w:hint="eastAsia"/>
        </w:rPr>
        <w:t>蓄勢待發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 w:rsidP="00747534">
      <w:pPr>
        <w:jc w:val="right"/>
        <w:textAlignment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0C124494">
            <wp:extent cx="1798320" cy="1082040"/>
            <wp:effectExtent l="0" t="0" r="0" b="381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CE1F1D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通訊領域，5G 技術影響著未來整個科技產業與人們的智慧生活發展趨勢，不僅將對人類的智慧應用生活再一次大翻轉，也將把全球科技產業的競逐，推向新的階段。</w:t>
      </w:r>
    </w:p>
    <w:p w:rsidR="00747534" w:rsidRDefault="00747534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79" w:space="567"/>
            <w:col w:w="5114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lastRenderedPageBreak/>
        <w:t>VR</w:t>
      </w:r>
      <w:r w:rsidRPr="007517AD">
        <w:rPr>
          <w:rFonts w:hint="eastAsia"/>
        </w:rPr>
        <w:t>／</w:t>
      </w:r>
      <w:r w:rsidRPr="007517AD">
        <w:t>AR</w:t>
      </w:r>
      <w:r w:rsidRPr="007517AD">
        <w:rPr>
          <w:rFonts w:hint="eastAsia"/>
        </w:rPr>
        <w:t>應用持續發燒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747534" w:rsidP="00747534">
      <w:pPr>
        <w:jc w:val="right"/>
        <w:textAlignment w:val="center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642D162D">
            <wp:extent cx="1798320" cy="1082040"/>
            <wp:effectExtent l="0" t="0" r="0" b="3810"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CE1F1D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未來獨立VR 裝置將會鎖定網路應用服務的性能提升，提供更好的畫面體驗以及更自然的多人互動交流等應用。</w:t>
      </w:r>
    </w:p>
    <w:p w:rsidR="00747534" w:rsidRDefault="00747534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747534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結合</w:t>
      </w:r>
      <w:r w:rsidRPr="007517AD">
        <w:t xml:space="preserve">AI </w:t>
      </w:r>
      <w:r w:rsidRPr="007517AD">
        <w:rPr>
          <w:rFonts w:hint="eastAsia"/>
        </w:rPr>
        <w:t>強化資安防禦機制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469" w:rsidRDefault="00953469" w:rsidP="00747534">
      <w:pPr>
        <w:jc w:val="right"/>
        <w:textAlignment w:val="center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747534" w:rsidRDefault="00747534" w:rsidP="00747534">
      <w:pPr>
        <w:jc w:val="right"/>
        <w:textAlignment w:val="center"/>
      </w:pPr>
      <w:r w:rsidRPr="00441A7A">
        <w:rPr>
          <w:rFonts w:ascii="微軟正黑體" w:eastAsia="微軟正黑體" w:hAnsi="微軟正黑體"/>
          <w:noProof/>
          <w:color w:val="1D1D1D"/>
          <w:sz w:val="20"/>
          <w:szCs w:val="20"/>
        </w:rPr>
        <w:lastRenderedPageBreak/>
        <w:drawing>
          <wp:inline distT="0" distB="0" distL="0" distR="0" wp14:anchorId="7399970E" wp14:editId="6644F496">
            <wp:extent cx="1800000" cy="1080000"/>
            <wp:effectExtent l="0" t="0" r="0" b="6350"/>
            <wp:docPr id="4" name="圖片 4" descr="http://www.fbblife.com.tw/userfiles/image/04231-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bblife.com.tw/userfiles/image/04231-6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534" w:rsidRDefault="00747534" w:rsidP="00CE1F1D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資安將結合AI 技術，藉以強化防禦機制的發展趨勢，包括提高情資分析精準度、透過行為分析偵測異常值、以身分認證提升效率、沙箱測試、系統漏洞偵測與修補等。</w:t>
      </w:r>
    </w:p>
    <w:p w:rsidR="00953469" w:rsidRDefault="00953469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新零售時代來臨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469" w:rsidRDefault="00953469" w:rsidP="00747534">
      <w:pPr>
        <w:jc w:val="right"/>
        <w:textAlignment w:val="center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953469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43F95805">
            <wp:extent cx="1798320" cy="1082040"/>
            <wp:effectExtent l="0" t="0" r="0" b="381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469" w:rsidRDefault="00953469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新零售時代的全面來臨，正引爆著相關商業契機，其中又以無人零售店的發展受到最大矚目。 將朝三大路線發展 自動販賣機店、 無人收銀機店、 無收銀機店。</w:t>
      </w:r>
    </w:p>
    <w:p w:rsidR="00953469" w:rsidRDefault="00953469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80" w:space="567"/>
            <w:col w:w="5113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智慧健康與醫療當道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469" w:rsidRDefault="00953469" w:rsidP="00747534">
      <w:pPr>
        <w:jc w:val="right"/>
        <w:textAlignment w:val="center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953469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2B2F45B4">
            <wp:extent cx="1798320" cy="1082040"/>
            <wp:effectExtent l="0" t="0" r="0" b="381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469" w:rsidRDefault="00953469" w:rsidP="00605A99">
      <w:pPr>
        <w:spacing w:line="240" w:lineRule="atLeast"/>
        <w:ind w:right="1134" w:firstLineChars="200" w:firstLine="440"/>
        <w:jc w:val="both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基於老齡化現象，智慧健康與醫療服務的科技應用，也正不斷衍生出新商品與服務模式。智慧健康與醫療服務的科技應用，正不斷地衍生出新商品與服務模式。</w:t>
      </w:r>
    </w:p>
    <w:p w:rsidR="00953469" w:rsidRDefault="00953469" w:rsidP="00F40C47">
      <w:pPr>
        <w:pStyle w:val="10"/>
        <w:tabs>
          <w:tab w:val="right" w:leader="dot" w:pos="9072"/>
        </w:tabs>
        <w:spacing w:before="120" w:after="120" w:line="240" w:lineRule="atLeast"/>
        <w:ind w:left="357" w:hanging="357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79" w:space="567"/>
            <w:col w:w="5114"/>
          </w:cols>
          <w:docGrid w:linePitch="360"/>
        </w:sectPr>
      </w:pPr>
    </w:p>
    <w:p w:rsidR="00441A7A" w:rsidRPr="007517AD" w:rsidRDefault="00441A7A" w:rsidP="006731B0">
      <w:pPr>
        <w:pStyle w:val="10"/>
        <w:tabs>
          <w:tab w:val="right" w:leader="dot" w:pos="9072"/>
        </w:tabs>
        <w:spacing w:before="120" w:after="0" w:line="240" w:lineRule="atLeast"/>
        <w:ind w:left="357" w:hanging="357"/>
        <w:textAlignment w:val="center"/>
      </w:pPr>
      <w:r w:rsidRPr="007517AD">
        <w:rPr>
          <w:rFonts w:hint="eastAsia"/>
        </w:rPr>
        <w:lastRenderedPageBreak/>
        <w:t>工業機器人加速智慧製造</w:t>
      </w:r>
      <w:r w:rsidR="007517AD">
        <w:tab/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469" w:rsidRDefault="00953469" w:rsidP="00747534">
      <w:pPr>
        <w:jc w:val="right"/>
        <w:textAlignment w:val="center"/>
        <w:sectPr w:rsidR="00953469" w:rsidSect="004A5FE0">
          <w:type w:val="continuous"/>
          <w:pgSz w:w="11906" w:h="16838" w:code="9"/>
          <w:pgMar w:top="885" w:right="1123" w:bottom="885" w:left="1123" w:header="567" w:footer="567" w:gutter="0"/>
          <w:cols w:space="425"/>
          <w:docGrid w:linePitch="360"/>
        </w:sectPr>
      </w:pPr>
    </w:p>
    <w:p w:rsidR="00953469" w:rsidRDefault="00DC12CD" w:rsidP="00747534">
      <w:pPr>
        <w:jc w:val="right"/>
        <w:textAlignment w:val="center"/>
      </w:pPr>
      <w:r>
        <w:rPr>
          <w:noProof/>
        </w:rPr>
        <w:lastRenderedPageBreak/>
        <w:drawing>
          <wp:inline distT="0" distB="0" distL="0" distR="0" wp14:anchorId="2ED622F5">
            <wp:extent cx="1798320" cy="1082040"/>
            <wp:effectExtent l="0" t="0" r="0" b="3810"/>
            <wp:docPr id="53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469" w:rsidRPr="00122966" w:rsidRDefault="00953469" w:rsidP="00605A99">
      <w:pPr>
        <w:spacing w:line="240" w:lineRule="atLeast"/>
        <w:ind w:right="1134" w:firstLineChars="200" w:firstLine="440"/>
        <w:jc w:val="both"/>
        <w:textAlignment w:val="center"/>
        <w:sectPr w:rsidR="00953469" w:rsidRPr="00122966" w:rsidSect="004A5FE0">
          <w:type w:val="continuous"/>
          <w:pgSz w:w="11906" w:h="16838" w:code="9"/>
          <w:pgMar w:top="885" w:right="1123" w:bottom="885" w:left="1123" w:header="567" w:footer="567" w:gutter="0"/>
          <w:cols w:num="2" w:space="567" w:equalWidth="0">
            <w:col w:w="3979" w:space="567"/>
            <w:col w:w="5114"/>
          </w:cols>
          <w:docGrid w:linePitch="360"/>
        </w:sectPr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隨著工業4.0 的大浪潮，工業機器人的發展愈來愈快速，產品也不斷推陳出新。未來工業機器人將朝多樣化、簡易控制操作等方向邁進。</w:t>
      </w:r>
    </w:p>
    <w:p w:rsidR="00441A7A" w:rsidRPr="00441A7A" w:rsidRDefault="00441A7A" w:rsidP="00122966">
      <w:pPr>
        <w:pStyle w:val="Web"/>
        <w:spacing w:before="0" w:beforeAutospacing="0" w:after="0" w:afterAutospacing="0" w:line="20" w:lineRule="exact"/>
        <w:rPr>
          <w:rFonts w:ascii="微軟正黑體" w:eastAsia="微軟正黑體" w:hAnsi="微軟正黑體"/>
          <w:color w:val="1D1D1D"/>
          <w:sz w:val="20"/>
          <w:szCs w:val="20"/>
          <w:lang w:eastAsia="zh-TW"/>
        </w:rPr>
      </w:pPr>
    </w:p>
    <w:sectPr w:rsidR="00441A7A" w:rsidRPr="00441A7A" w:rsidSect="004A5FE0">
      <w:type w:val="continuous"/>
      <w:pgSz w:w="11906" w:h="16838" w:code="9"/>
      <w:pgMar w:top="885" w:right="1123" w:bottom="885" w:left="1123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E2" w:rsidRDefault="004D71E2" w:rsidP="00605A99">
      <w:pPr>
        <w:spacing w:before="0" w:line="240" w:lineRule="auto"/>
      </w:pPr>
      <w:r>
        <w:separator/>
      </w:r>
    </w:p>
  </w:endnote>
  <w:endnote w:type="continuationSeparator" w:id="0">
    <w:p w:rsidR="004D71E2" w:rsidRDefault="004D71E2" w:rsidP="00605A9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E2" w:rsidRDefault="004D71E2" w:rsidP="00605A99">
      <w:pPr>
        <w:spacing w:before="0" w:line="240" w:lineRule="auto"/>
      </w:pPr>
      <w:r>
        <w:separator/>
      </w:r>
    </w:p>
  </w:footnote>
  <w:footnote w:type="continuationSeparator" w:id="0">
    <w:p w:rsidR="004D71E2" w:rsidRDefault="004D71E2" w:rsidP="00605A99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6D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D55C78"/>
    <w:multiLevelType w:val="multilevel"/>
    <w:tmpl w:val="EFECB74C"/>
    <w:numStyleLink w:val="1"/>
  </w:abstractNum>
  <w:abstractNum w:abstractNumId="2" w15:restartNumberingAfterBreak="0">
    <w:nsid w:val="43B71903"/>
    <w:multiLevelType w:val="multilevel"/>
    <w:tmpl w:val="EFECB74C"/>
    <w:styleLink w:val="1"/>
    <w:lvl w:ilvl="0">
      <w:start w:val="1"/>
      <w:numFmt w:val="decimal"/>
      <w:pStyle w:val="10"/>
      <w:suff w:val="space"/>
      <w:lvlText w:val="趨勢 %1》"/>
      <w:lvlJc w:val="left"/>
      <w:pPr>
        <w:ind w:left="360" w:hanging="360"/>
      </w:pPr>
      <w:rPr>
        <w:rFonts w:ascii="Arial" w:eastAsia="微軟正黑體" w:hAnsi="Arial" w:hint="default"/>
        <w:b/>
        <w:i w:val="0"/>
        <w:color w:val="00206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3" w15:restartNumberingAfterBreak="0">
    <w:nsid w:val="7E096CC8"/>
    <w:multiLevelType w:val="multilevel"/>
    <w:tmpl w:val="EFECB74C"/>
    <w:numStyleLink w:val="1"/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0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2"/>
  <w:drawingGridHorizontalSpacing w:val="284"/>
  <w:drawingGridVerticalSpacing w:val="284"/>
  <w:characterSpacingControl w:val="compressPunctuation"/>
  <w:hdrShapeDefaults>
    <o:shapedefaults v:ext="edit" spidmax="2049">
      <o:colormru v:ext="edit" colors="#fdfefc,#f2f9eb,#fef6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A7A"/>
    <w:rsid w:val="000070BD"/>
    <w:rsid w:val="00026C11"/>
    <w:rsid w:val="00037FC4"/>
    <w:rsid w:val="0005549F"/>
    <w:rsid w:val="00065BB1"/>
    <w:rsid w:val="00090B5E"/>
    <w:rsid w:val="000E2553"/>
    <w:rsid w:val="00115AB6"/>
    <w:rsid w:val="00122966"/>
    <w:rsid w:val="00181D27"/>
    <w:rsid w:val="001A7F8B"/>
    <w:rsid w:val="001B4BA8"/>
    <w:rsid w:val="001C341B"/>
    <w:rsid w:val="001E76F7"/>
    <w:rsid w:val="00207E3F"/>
    <w:rsid w:val="00251B33"/>
    <w:rsid w:val="002537DD"/>
    <w:rsid w:val="002D4C9D"/>
    <w:rsid w:val="003101B7"/>
    <w:rsid w:val="003209EC"/>
    <w:rsid w:val="00375AF1"/>
    <w:rsid w:val="003D3EE9"/>
    <w:rsid w:val="00441A7A"/>
    <w:rsid w:val="0044302B"/>
    <w:rsid w:val="004A5FE0"/>
    <w:rsid w:val="004D09CD"/>
    <w:rsid w:val="004D71E2"/>
    <w:rsid w:val="00502740"/>
    <w:rsid w:val="0051165A"/>
    <w:rsid w:val="005D20E2"/>
    <w:rsid w:val="00605A99"/>
    <w:rsid w:val="006128B6"/>
    <w:rsid w:val="00646509"/>
    <w:rsid w:val="006731B0"/>
    <w:rsid w:val="00697ABE"/>
    <w:rsid w:val="006D4045"/>
    <w:rsid w:val="007176BF"/>
    <w:rsid w:val="007332A3"/>
    <w:rsid w:val="00742B0C"/>
    <w:rsid w:val="00747534"/>
    <w:rsid w:val="007517AD"/>
    <w:rsid w:val="007A5C56"/>
    <w:rsid w:val="008051C3"/>
    <w:rsid w:val="008279EB"/>
    <w:rsid w:val="00831CE2"/>
    <w:rsid w:val="008600B9"/>
    <w:rsid w:val="00880DDA"/>
    <w:rsid w:val="00881324"/>
    <w:rsid w:val="00887AFD"/>
    <w:rsid w:val="0089799A"/>
    <w:rsid w:val="008B6852"/>
    <w:rsid w:val="008F655E"/>
    <w:rsid w:val="00953469"/>
    <w:rsid w:val="00977339"/>
    <w:rsid w:val="009C33AD"/>
    <w:rsid w:val="009F05CD"/>
    <w:rsid w:val="00A31258"/>
    <w:rsid w:val="00A436B5"/>
    <w:rsid w:val="00A61CA6"/>
    <w:rsid w:val="00A70F58"/>
    <w:rsid w:val="00B06422"/>
    <w:rsid w:val="00B32274"/>
    <w:rsid w:val="00BD61C8"/>
    <w:rsid w:val="00BD6F08"/>
    <w:rsid w:val="00C94EE0"/>
    <w:rsid w:val="00CB35E4"/>
    <w:rsid w:val="00CB5891"/>
    <w:rsid w:val="00CE1F1D"/>
    <w:rsid w:val="00CE3821"/>
    <w:rsid w:val="00CF4820"/>
    <w:rsid w:val="00D01AF3"/>
    <w:rsid w:val="00D0649B"/>
    <w:rsid w:val="00D5644B"/>
    <w:rsid w:val="00D87749"/>
    <w:rsid w:val="00DC12CD"/>
    <w:rsid w:val="00E11E9A"/>
    <w:rsid w:val="00E56235"/>
    <w:rsid w:val="00E648C6"/>
    <w:rsid w:val="00E73024"/>
    <w:rsid w:val="00E80C66"/>
    <w:rsid w:val="00F26686"/>
    <w:rsid w:val="00F40C47"/>
    <w:rsid w:val="00FB61E1"/>
    <w:rsid w:val="00F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fefc,#f2f9eb,#fef6f0"/>
    </o:shapedefaults>
    <o:shapelayout v:ext="edit">
      <o:idmap v:ext="edit" data="1"/>
    </o:shapelayout>
  </w:shapeDefaults>
  <w:decimalSymbol w:val="."/>
  <w:listSeparator w:val=","/>
  <w15:chartTrackingRefBased/>
  <w15:docId w15:val="{FA0D6C7A-0796-48EE-BCBC-1856612A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E9A"/>
    <w:pPr>
      <w:widowControl w:val="0"/>
      <w:spacing w:before="120" w:line="288" w:lineRule="auto"/>
    </w:pPr>
  </w:style>
  <w:style w:type="paragraph" w:styleId="10">
    <w:name w:val="heading 1"/>
    <w:basedOn w:val="Web"/>
    <w:next w:val="a"/>
    <w:link w:val="11"/>
    <w:uiPriority w:val="9"/>
    <w:qFormat/>
    <w:rsid w:val="0089799A"/>
    <w:pPr>
      <w:numPr>
        <w:numId w:val="3"/>
      </w:numPr>
      <w:spacing w:before="240" w:beforeAutospacing="0" w:after="150" w:afterAutospacing="0" w:line="330" w:lineRule="atLeast"/>
      <w:outlineLvl w:val="0"/>
    </w:pPr>
    <w:rPr>
      <w:rFonts w:ascii="微軟正黑體" w:eastAsia="微軟正黑體" w:hAnsi="微軟正黑體"/>
      <w:b/>
      <w:color w:val="8E2979"/>
      <w:sz w:val="28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41A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eastAsia="zh-CN"/>
    </w:rPr>
  </w:style>
  <w:style w:type="character" w:customStyle="1" w:styleId="11">
    <w:name w:val="標題 1 字元"/>
    <w:basedOn w:val="a0"/>
    <w:link w:val="10"/>
    <w:uiPriority w:val="9"/>
    <w:rsid w:val="0089799A"/>
    <w:rPr>
      <w:rFonts w:ascii="微軟正黑體" w:eastAsia="微軟正黑體" w:hAnsi="微軟正黑體" w:cs="Times New Roman"/>
      <w:b/>
      <w:color w:val="8E2979"/>
      <w:kern w:val="0"/>
      <w:sz w:val="28"/>
      <w:szCs w:val="20"/>
    </w:rPr>
  </w:style>
  <w:style w:type="table" w:styleId="a3">
    <w:name w:val="Table Grid"/>
    <w:basedOn w:val="a1"/>
    <w:uiPriority w:val="39"/>
    <w:rsid w:val="001C3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樣式1"/>
    <w:uiPriority w:val="99"/>
    <w:rsid w:val="001C341B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605A99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a5">
    <w:name w:val="頁首 字元"/>
    <w:basedOn w:val="a0"/>
    <w:link w:val="a4"/>
    <w:uiPriority w:val="99"/>
    <w:rsid w:val="00605A99"/>
  </w:style>
  <w:style w:type="paragraph" w:styleId="a6">
    <w:name w:val="footer"/>
    <w:basedOn w:val="a"/>
    <w:link w:val="a7"/>
    <w:uiPriority w:val="99"/>
    <w:unhideWhenUsed/>
    <w:rsid w:val="00605A99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a7">
    <w:name w:val="頁尾 字元"/>
    <w:basedOn w:val="a0"/>
    <w:link w:val="a6"/>
    <w:uiPriority w:val="99"/>
    <w:rsid w:val="00605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陳淑卿</cp:lastModifiedBy>
  <cp:revision>11</cp:revision>
  <dcterms:created xsi:type="dcterms:W3CDTF">2018-07-14T11:22:00Z</dcterms:created>
  <dcterms:modified xsi:type="dcterms:W3CDTF">2018-08-14T02:19:00Z</dcterms:modified>
</cp:coreProperties>
</file>