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7A" w:rsidRPr="00887AFD" w:rsidRDefault="007A5C56" w:rsidP="00114882">
      <w:pPr>
        <w:pStyle w:val="Web"/>
        <w:spacing w:before="0" w:beforeAutospacing="0" w:after="360" w:afterAutospacing="0" w:line="800" w:lineRule="exact"/>
        <w:jc w:val="center"/>
        <w:rPr>
          <w:rFonts w:ascii="微軟正黑體" w:eastAsia="微軟正黑體" w:hAnsi="微軟正黑體" w:cs="新細明體"/>
          <w:b/>
          <w:color w:val="FFFFFF" w:themeColor="background1"/>
          <w:sz w:val="22"/>
          <w:szCs w:val="20"/>
          <w:lang w:eastAsia="zh-T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37C1F">
        <w:rPr>
          <w:rFonts w:ascii="微軟正黑體" w:eastAsia="微軟正黑體" w:hAnsi="微軟正黑體" w:cs="微軟正黑體" w:hint="eastAsia"/>
          <w:b/>
          <w:color w:val="002060"/>
          <w:w w:val="90"/>
          <w:sz w:val="52"/>
          <w:szCs w:val="45"/>
          <w:lang w:eastAsia="zh-TW"/>
        </w:rPr>
        <w:t>全面朝數位化邁進</w:t>
      </w:r>
      <w:r w:rsidR="00887AFD" w:rsidRPr="00037C1F">
        <w:rPr>
          <w:rFonts w:ascii="微軟正黑體" w:eastAsia="微軟正黑體" w:hAnsi="微軟正黑體" w:cs="微軟正黑體" w:hint="eastAsia"/>
          <w:b/>
          <w:color w:val="002060"/>
          <w:w w:val="90"/>
          <w:sz w:val="52"/>
          <w:szCs w:val="45"/>
          <w:lang w:eastAsia="zh-TW"/>
        </w:rPr>
        <w:t xml:space="preserve"> </w:t>
      </w:r>
      <w:r w:rsidR="00441A7A" w:rsidRPr="00037C1F">
        <w:rPr>
          <w:rFonts w:ascii="Arial" w:eastAsia="微軟正黑體" w:hAnsi="Arial" w:cs="Arial"/>
          <w:b/>
          <w:color w:val="002060"/>
          <w:sz w:val="52"/>
          <w:szCs w:val="45"/>
          <w:lang w:eastAsia="zh-TW"/>
        </w:rPr>
        <w:t>2018</w:t>
      </w:r>
      <w:r w:rsidR="00441A7A" w:rsidRPr="00037C1F">
        <w:rPr>
          <w:rFonts w:ascii="微軟正黑體" w:eastAsia="微軟正黑體" w:hAnsi="微軟正黑體" w:cs="微軟正黑體" w:hint="eastAsia"/>
          <w:b/>
          <w:color w:val="002060"/>
          <w:sz w:val="52"/>
          <w:szCs w:val="45"/>
          <w:lang w:eastAsia="zh-TW"/>
        </w:rPr>
        <w:t>年科技業十大重點趨勢</w:t>
      </w:r>
      <w:r w:rsidR="00747534" w:rsidRPr="00037C1F">
        <w:rPr>
          <w:rFonts w:ascii="微軟正黑體" w:eastAsia="微軟正黑體" w:hAnsi="微軟正黑體" w:cs="微軟正黑體" w:hint="eastAsia"/>
          <w:b/>
          <w:color w:val="002060"/>
          <w:sz w:val="52"/>
          <w:szCs w:val="45"/>
          <w:lang w:eastAsia="zh-TW"/>
        </w:rPr>
        <w:t>觀察</w:t>
      </w:r>
      <w:r w:rsidR="00605A99">
        <w:rPr>
          <w:rFonts w:ascii="微軟正黑體" w:eastAsia="微軟正黑體" w:hAnsi="微軟正黑體" w:cs="新細明體"/>
          <w:b/>
          <w:noProof/>
          <w:color w:val="FFFFFF" w:themeColor="background1"/>
          <w:sz w:val="22"/>
          <w:szCs w:val="20"/>
          <w:lang w:eastAsia="zh-TW"/>
        </w:rPr>
        <w:drawing>
          <wp:inline distT="0" distB="0" distL="0" distR="0">
            <wp:extent cx="659190" cy="648000"/>
            <wp:effectExtent l="0" t="0" r="762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9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E24" w:rsidRPr="00207E3F" w:rsidRDefault="002A6E24" w:rsidP="00114882">
      <w:pPr>
        <w:pStyle w:val="Web"/>
        <w:spacing w:before="0" w:beforeAutospacing="0" w:after="0" w:afterAutospacing="0" w:line="240" w:lineRule="atLeast"/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</w:pP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5A3369E4" wp14:editId="01723B94">
            <wp:extent cx="1082040" cy="700944"/>
            <wp:effectExtent l="0" t="0" r="3810" b="4445"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166457E3" wp14:editId="228C5F02">
            <wp:extent cx="1082040" cy="703155"/>
            <wp:effectExtent l="0" t="0" r="3810" b="1905"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3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7E258FE6" wp14:editId="020E6DA5">
            <wp:extent cx="1082040" cy="693346"/>
            <wp:effectExtent l="0" t="0" r="3810" b="0"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693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7E911134" wp14:editId="1E4DF5ED">
            <wp:extent cx="1082040" cy="702623"/>
            <wp:effectExtent l="0" t="0" r="3810" b="2540"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26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2FE03D38" wp14:editId="4899690E">
            <wp:extent cx="1082040" cy="698090"/>
            <wp:effectExtent l="0" t="0" r="3810" b="6985"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698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C55DC"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br/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1</w:t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2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3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4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5</w:t>
      </w:r>
      <w:r w:rsidR="008C55DC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br/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40602483" wp14:editId="43659B0B">
            <wp:extent cx="1082040" cy="700944"/>
            <wp:effectExtent l="0" t="0" r="3810" b="4445"/>
            <wp:docPr id="62" name="圖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2BF9CC97" wp14:editId="292A7D4C">
            <wp:extent cx="1082040" cy="700944"/>
            <wp:effectExtent l="0" t="0" r="3810" b="4445"/>
            <wp:docPr id="63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5E15882D" wp14:editId="7B160FB2">
            <wp:extent cx="1082040" cy="700944"/>
            <wp:effectExtent l="0" t="0" r="3810" b="4445"/>
            <wp:docPr id="6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18650857" wp14:editId="76FDC200">
            <wp:extent cx="1082040" cy="700944"/>
            <wp:effectExtent l="0" t="0" r="3810" b="4445"/>
            <wp:docPr id="65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t xml:space="preserve">　</w:t>
      </w:r>
      <w:r>
        <w:rPr>
          <w:rFonts w:ascii="微軟正黑體" w:eastAsia="微軟正黑體" w:hAnsi="微軟正黑體"/>
          <w:noProof/>
          <w:color w:val="1D1D1D"/>
          <w:sz w:val="20"/>
          <w:szCs w:val="20"/>
          <w:lang w:eastAsia="zh-TW"/>
        </w:rPr>
        <w:drawing>
          <wp:inline distT="0" distB="0" distL="0" distR="0" wp14:anchorId="00087663" wp14:editId="5FB25528">
            <wp:extent cx="1082040" cy="700944"/>
            <wp:effectExtent l="0" t="0" r="3810" b="4445"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00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C55DC">
        <w:rPr>
          <w:rFonts w:ascii="微軟正黑體" w:eastAsia="微軟正黑體" w:hAnsi="微軟正黑體"/>
          <w:color w:val="1D1D1D"/>
          <w:sz w:val="20"/>
          <w:szCs w:val="20"/>
          <w:lang w:eastAsia="zh-TW"/>
        </w:rPr>
        <w:br/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6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</w:t>
      </w:r>
      <w:r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7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 w:rsidR="00567CC8"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8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9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 xml:space="preserve">　</w:t>
      </w:r>
      <w:r>
        <w:rPr>
          <w:rFonts w:ascii="Arial" w:eastAsia="微軟正黑體" w:hAnsi="Arial" w:cs="Arial" w:hint="eastAsia"/>
          <w:b/>
          <w:color w:val="002060"/>
          <w:sz w:val="20"/>
          <w:szCs w:val="20"/>
          <w:lang w:eastAsia="zh-TW"/>
        </w:rPr>
        <w:t xml:space="preserve">            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趨勢</w:t>
      </w:r>
      <w:r w:rsidRPr="00207E3F">
        <w:rPr>
          <w:rFonts w:ascii="Arial" w:eastAsia="微軟正黑體" w:hAnsi="Arial" w:cs="Arial"/>
          <w:b/>
          <w:color w:val="002060"/>
          <w:sz w:val="20"/>
          <w:szCs w:val="20"/>
          <w:lang w:eastAsia="zh-TW"/>
        </w:rPr>
        <w:t>10</w:t>
      </w:r>
    </w:p>
    <w:p w:rsidR="00441A7A" w:rsidRPr="007517AD" w:rsidRDefault="00441A7A" w:rsidP="00114882">
      <w:pPr>
        <w:pStyle w:val="10"/>
        <w:numPr>
          <w:ilvl w:val="0"/>
          <w:numId w:val="0"/>
        </w:numPr>
        <w:spacing w:before="120" w:after="0" w:line="240" w:lineRule="atLeast"/>
        <w:textAlignment w:val="center"/>
      </w:pPr>
      <w:r w:rsidRPr="007517AD">
        <w:t>科技無所不在 產業掀數位化浪潮</w:t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15EFDB7" wp14:editId="44383E28">
            <wp:extent cx="266265" cy="360000"/>
            <wp:effectExtent l="0" t="0" r="635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DC12CD" w:rsidP="00114882">
      <w:pPr>
        <w:textAlignment w:val="center"/>
        <w:rPr>
          <w:rFonts w:ascii="微軟正黑體" w:eastAsia="微軟正黑體" w:hAnsi="微軟正黑體" w:cs="新細明體"/>
          <w:color w:val="002060"/>
          <w:sz w:val="22"/>
          <w:szCs w:val="20"/>
        </w:rPr>
      </w:pPr>
      <w:r>
        <w:rPr>
          <w:rFonts w:ascii="微軟正黑體" w:eastAsia="微軟正黑體" w:hAnsi="微軟正黑體" w:cs="新細明體"/>
          <w:noProof/>
          <w:color w:val="002060"/>
          <w:sz w:val="22"/>
          <w:szCs w:val="20"/>
        </w:rPr>
        <w:drawing>
          <wp:inline distT="0" distB="0" distL="0" distR="0" wp14:anchorId="778D05E3">
            <wp:extent cx="1798320" cy="1082040"/>
            <wp:effectExtent l="0" t="0" r="0" b="3810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534" w:rsidRDefault="00747534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面對科技深刻融入各個產業，各行各業加速推動數位轉型，已是企業發展的重心，朝向成為「數位原生企業」已是未來企業發展的重要方向。</w:t>
      </w:r>
    </w:p>
    <w:p w:rsidR="00441A7A" w:rsidRPr="007517AD" w:rsidRDefault="00441A7A" w:rsidP="00114882">
      <w:pPr>
        <w:pStyle w:val="10"/>
        <w:numPr>
          <w:ilvl w:val="0"/>
          <w:numId w:val="0"/>
        </w:numPr>
        <w:spacing w:before="120" w:after="0" w:line="240" w:lineRule="atLeast"/>
        <w:textAlignment w:val="center"/>
      </w:pPr>
      <w:r w:rsidRPr="007517AD">
        <w:t xml:space="preserve">AI </w:t>
      </w:r>
      <w:r w:rsidRPr="007517AD">
        <w:rPr>
          <w:rFonts w:hint="eastAsia"/>
        </w:rPr>
        <w:t>終端市場大爆發</w:t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474AD461" wp14:editId="1CC26A4D">
            <wp:extent cx="266265" cy="360000"/>
            <wp:effectExtent l="0" t="0" r="635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Pr="00880DDA" w:rsidRDefault="00DC12CD" w:rsidP="00114882">
      <w:pPr>
        <w:textAlignment w:val="center"/>
      </w:pPr>
      <w:r>
        <w:rPr>
          <w:noProof/>
        </w:rPr>
        <w:drawing>
          <wp:inline distT="0" distB="0" distL="0" distR="0" wp14:anchorId="3CB0152F">
            <wp:extent cx="1798320" cy="1082040"/>
            <wp:effectExtent l="0" t="0" r="0" b="3810"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093" w:rsidRDefault="00747534" w:rsidP="00A50A33">
      <w:pPr>
        <w:spacing w:line="240" w:lineRule="atLeast"/>
        <w:textAlignment w:val="center"/>
        <w:rPr>
          <w:rFonts w:ascii="微軟正黑體" w:eastAsia="微軟正黑體" w:hAnsi="微軟正黑體" w:cs="新細明體"/>
          <w:color w:val="002060"/>
          <w:sz w:val="22"/>
          <w:szCs w:val="20"/>
        </w:rPr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在技術趨勢方面，AI 牽動科技產業與各行各業最關鍵的技術，尤其AI 終端需求的大爆發，不僅將對科技產業帶來莫大商機，更將使AI 應用加速融入人們的生活之中。</w:t>
      </w:r>
    </w:p>
    <w:p w:rsidR="003644D9" w:rsidRPr="007517AD" w:rsidRDefault="003644D9" w:rsidP="008F5339">
      <w:pPr>
        <w:pStyle w:val="10"/>
        <w:numPr>
          <w:ilvl w:val="0"/>
          <w:numId w:val="0"/>
        </w:numPr>
        <w:spacing w:before="0" w:after="0" w:line="240" w:lineRule="atLeast"/>
        <w:textAlignment w:val="center"/>
      </w:pPr>
      <w:r w:rsidRPr="007517AD">
        <w:rPr>
          <w:rFonts w:hint="eastAsia"/>
        </w:rPr>
        <w:t>結合</w:t>
      </w:r>
      <w:r w:rsidRPr="007517AD">
        <w:t xml:space="preserve">AI </w:t>
      </w:r>
      <w:r w:rsidRPr="007517AD">
        <w:rPr>
          <w:rFonts w:hint="eastAsia"/>
        </w:rPr>
        <w:t>強化資安防禦機制</w:t>
      </w:r>
      <w:r w:rsidRPr="00FC3093">
        <w:rPr>
          <w:noProof/>
        </w:rPr>
        <w:drawing>
          <wp:inline distT="0" distB="0" distL="0" distR="0" wp14:anchorId="323F52DA" wp14:editId="425A3A0E">
            <wp:extent cx="266265" cy="360000"/>
            <wp:effectExtent l="0" t="0" r="635" b="254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D9" w:rsidRDefault="003644D9" w:rsidP="00114882">
      <w:pPr>
        <w:textAlignment w:val="center"/>
      </w:pPr>
      <w:r w:rsidRPr="00441A7A">
        <w:rPr>
          <w:rFonts w:ascii="微軟正黑體" w:eastAsia="微軟正黑體" w:hAnsi="微軟正黑體"/>
          <w:noProof/>
          <w:color w:val="1D1D1D"/>
          <w:sz w:val="20"/>
          <w:szCs w:val="20"/>
        </w:rPr>
        <w:drawing>
          <wp:inline distT="0" distB="0" distL="0" distR="0" wp14:anchorId="1A720228" wp14:editId="22C96E8F">
            <wp:extent cx="1800000" cy="1080000"/>
            <wp:effectExtent l="0" t="0" r="0" b="6350"/>
            <wp:docPr id="4" name="圖片 4" descr="http://www.fbblife.com.tw/userfiles/image/04231-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bblife.com.tw/userfiles/image/04231-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4D9" w:rsidRDefault="003644D9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資安將結合AI 技術，藉以強化防禦機制的發展趨勢，包括提高情資分析精準度、透過行為分析偵測</w:t>
      </w: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lastRenderedPageBreak/>
        <w:t>異常值、以身分認證提升效率、沙箱測試、系統漏洞偵測與修補等。</w:t>
      </w:r>
    </w:p>
    <w:p w:rsidR="00441A7A" w:rsidRPr="007517AD" w:rsidRDefault="00441A7A" w:rsidP="00114882">
      <w:pPr>
        <w:pStyle w:val="10"/>
        <w:numPr>
          <w:ilvl w:val="0"/>
          <w:numId w:val="0"/>
        </w:numPr>
        <w:spacing w:before="120" w:after="0" w:line="240" w:lineRule="atLeast"/>
        <w:textAlignment w:val="center"/>
      </w:pPr>
      <w:r w:rsidRPr="007517AD">
        <w:rPr>
          <w:rFonts w:hint="eastAsia"/>
        </w:rPr>
        <w:t>區塊鏈加速往前推進</w:t>
      </w:r>
      <w:r w:rsidR="006731B0" w:rsidRPr="00FC3093">
        <w:rPr>
          <w:noProof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DC12CD" w:rsidP="00114882">
      <w:pPr>
        <w:textAlignment w:val="center"/>
      </w:pPr>
      <w:r>
        <w:rPr>
          <w:noProof/>
        </w:rPr>
        <w:drawing>
          <wp:inline distT="0" distB="0" distL="0" distR="0" wp14:anchorId="6D82FB1C">
            <wp:extent cx="1798320" cy="1082040"/>
            <wp:effectExtent l="0" t="0" r="0" b="3810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093" w:rsidRDefault="00747534" w:rsidP="00A50A33">
      <w:pPr>
        <w:spacing w:line="240" w:lineRule="atLeast"/>
        <w:textAlignment w:val="center"/>
        <w:rPr>
          <w:rFonts w:ascii="微軟正黑體" w:eastAsia="微軟正黑體" w:hAnsi="微軟正黑體" w:cs="新細明體"/>
          <w:color w:val="002060"/>
          <w:sz w:val="22"/>
          <w:szCs w:val="20"/>
        </w:rPr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終端設備將由「行動至上」進化為「AI 至上」，藉由蒐集與學習使用者的習慣，搭配終端自身就能處理的計算能力，進而讓設備的各項功能和運作更加到位與快速反應。</w:t>
      </w:r>
    </w:p>
    <w:p w:rsidR="003644D9" w:rsidRDefault="003644D9" w:rsidP="00114882">
      <w:pPr>
        <w:pStyle w:val="10"/>
        <w:numPr>
          <w:ilvl w:val="0"/>
          <w:numId w:val="0"/>
        </w:numPr>
        <w:spacing w:before="120" w:after="0" w:line="240" w:lineRule="atLeast"/>
        <w:textAlignment w:val="center"/>
      </w:pPr>
      <w:r w:rsidRPr="007517AD">
        <w:rPr>
          <w:rFonts w:hint="eastAsia"/>
        </w:rPr>
        <w:t>數位轉型加劇</w:t>
      </w:r>
      <w:r w:rsidRPr="007517AD">
        <w:t xml:space="preserve"> </w:t>
      </w:r>
      <w:r w:rsidRPr="007517AD">
        <w:rPr>
          <w:rFonts w:hint="eastAsia"/>
        </w:rPr>
        <w:t>引爆虛擬經濟商機</w:t>
      </w:r>
      <w:r>
        <w:rPr>
          <w:rFonts w:cs="新細明體"/>
          <w:noProof/>
          <w:color w:val="002060"/>
          <w:sz w:val="22"/>
        </w:rPr>
        <w:drawing>
          <wp:inline distT="0" distB="0" distL="0" distR="0" wp14:anchorId="6C726466" wp14:editId="7B829037">
            <wp:extent cx="266265" cy="360000"/>
            <wp:effectExtent l="0" t="0" r="635" b="25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D9" w:rsidRDefault="003644D9" w:rsidP="00114882">
      <w:pPr>
        <w:textAlignment w:val="center"/>
      </w:pPr>
      <w:r>
        <w:rPr>
          <w:noProof/>
        </w:rPr>
        <w:drawing>
          <wp:inline distT="0" distB="0" distL="0" distR="0" wp14:anchorId="5AE3953A" wp14:editId="67E0A6AA">
            <wp:extent cx="1798320" cy="1082040"/>
            <wp:effectExtent l="0" t="0" r="0" b="381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44D9" w:rsidRPr="00747534" w:rsidRDefault="003644D9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隨著資訊科技帶動整體商業市場的變遷，數位化、線上與虛擬的經濟市場也正快速引爆。 未來「創造新商業模式的能力」將是競爭的關鍵。</w:t>
      </w:r>
    </w:p>
    <w:p w:rsidR="003644D9" w:rsidRPr="007517AD" w:rsidRDefault="003644D9" w:rsidP="008F5339">
      <w:pPr>
        <w:pStyle w:val="10"/>
        <w:numPr>
          <w:ilvl w:val="0"/>
          <w:numId w:val="0"/>
        </w:numPr>
        <w:spacing w:before="0" w:after="0" w:line="240" w:lineRule="atLeast"/>
        <w:textAlignment w:val="center"/>
      </w:pPr>
      <w:r w:rsidRPr="007517AD">
        <w:rPr>
          <w:rFonts w:hint="eastAsia"/>
        </w:rPr>
        <w:t>新零售時代來臨</w:t>
      </w:r>
      <w:r>
        <w:rPr>
          <w:rFonts w:cs="新細明體"/>
          <w:noProof/>
          <w:color w:val="002060"/>
          <w:sz w:val="22"/>
        </w:rPr>
        <w:drawing>
          <wp:inline distT="0" distB="0" distL="0" distR="0" wp14:anchorId="4C2E3703" wp14:editId="24014130">
            <wp:extent cx="266265" cy="360000"/>
            <wp:effectExtent l="0" t="0" r="635" b="254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D9" w:rsidRDefault="003644D9" w:rsidP="00114882">
      <w:pPr>
        <w:textAlignment w:val="center"/>
      </w:pPr>
      <w:r>
        <w:rPr>
          <w:noProof/>
        </w:rPr>
        <w:drawing>
          <wp:inline distT="0" distB="0" distL="0" distR="0" wp14:anchorId="5F2E92C5" wp14:editId="18C18296">
            <wp:extent cx="1798320" cy="1082040"/>
            <wp:effectExtent l="0" t="0" r="0" b="381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44D9" w:rsidRDefault="003644D9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新零售時代的全面來臨，正引爆著相關商業契機，其中又以無人零售店的發展受到最大矚目。 將朝三大路線發展 自動販賣機店、 無人收銀機店、 無收銀機店。</w:t>
      </w:r>
    </w:p>
    <w:p w:rsidR="00441A7A" w:rsidRPr="007517AD" w:rsidRDefault="00441A7A" w:rsidP="008F5339">
      <w:pPr>
        <w:pStyle w:val="10"/>
        <w:numPr>
          <w:ilvl w:val="0"/>
          <w:numId w:val="0"/>
        </w:numPr>
        <w:spacing w:before="0" w:after="0" w:line="240" w:lineRule="atLeast"/>
        <w:textAlignment w:val="center"/>
      </w:pPr>
      <w:r w:rsidRPr="007517AD">
        <w:t>VR</w:t>
      </w:r>
      <w:r w:rsidRPr="007517AD">
        <w:rPr>
          <w:rFonts w:hint="eastAsia"/>
        </w:rPr>
        <w:t>／</w:t>
      </w:r>
      <w:r w:rsidRPr="007517AD">
        <w:t>AR</w:t>
      </w:r>
      <w:r w:rsidRPr="007517AD">
        <w:rPr>
          <w:rFonts w:hint="eastAsia"/>
        </w:rPr>
        <w:t>應用持續發燒</w:t>
      </w:r>
      <w:r w:rsidR="006731B0">
        <w:rPr>
          <w:rFonts w:cs="新細明體"/>
          <w:noProof/>
          <w:color w:val="002060"/>
          <w:sz w:val="22"/>
        </w:rPr>
        <w:drawing>
          <wp:inline distT="0" distB="0" distL="0" distR="0" wp14:anchorId="581334F6" wp14:editId="73E3A518">
            <wp:extent cx="266265" cy="360000"/>
            <wp:effectExtent l="0" t="0" r="635" b="254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34" w:rsidRDefault="00DC12CD" w:rsidP="00114882">
      <w:pPr>
        <w:textAlignment w:val="center"/>
      </w:pPr>
      <w:r>
        <w:rPr>
          <w:noProof/>
        </w:rPr>
        <w:drawing>
          <wp:inline distT="0" distB="0" distL="0" distR="0" wp14:anchorId="642D162D">
            <wp:extent cx="1798320" cy="1082040"/>
            <wp:effectExtent l="0" t="0" r="0" b="3810"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093" w:rsidRDefault="00747534" w:rsidP="00A50A33">
      <w:pPr>
        <w:spacing w:line="240" w:lineRule="atLeast"/>
        <w:textAlignment w:val="center"/>
        <w:rPr>
          <w:rFonts w:ascii="微軟正黑體" w:eastAsia="微軟正黑體" w:hAnsi="微軟正黑體" w:cs="新細明體"/>
          <w:color w:val="002060"/>
          <w:sz w:val="22"/>
          <w:szCs w:val="20"/>
        </w:rPr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未來獨立VR 裝置將會鎖定網路應用服務的性能提升，提供更好的畫面體驗以及更自然的多人互動交流等應用。</w:t>
      </w:r>
    </w:p>
    <w:p w:rsidR="003644D9" w:rsidRPr="007517AD" w:rsidRDefault="003644D9" w:rsidP="008F5339">
      <w:pPr>
        <w:pStyle w:val="10"/>
        <w:numPr>
          <w:ilvl w:val="0"/>
          <w:numId w:val="0"/>
        </w:numPr>
        <w:spacing w:before="0" w:after="0" w:line="240" w:lineRule="atLeast"/>
        <w:textAlignment w:val="center"/>
      </w:pPr>
      <w:r w:rsidRPr="007517AD">
        <w:rPr>
          <w:rFonts w:hint="eastAsia"/>
        </w:rPr>
        <w:t>智慧健康與醫療當道</w:t>
      </w:r>
      <w:r>
        <w:rPr>
          <w:rFonts w:cs="新細明體"/>
          <w:noProof/>
          <w:color w:val="002060"/>
          <w:sz w:val="22"/>
        </w:rPr>
        <w:drawing>
          <wp:inline distT="0" distB="0" distL="0" distR="0" wp14:anchorId="54CDACD5" wp14:editId="716C5CB7">
            <wp:extent cx="266265" cy="360000"/>
            <wp:effectExtent l="0" t="0" r="635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D9" w:rsidRDefault="003644D9" w:rsidP="00114882">
      <w:pPr>
        <w:textAlignment w:val="center"/>
      </w:pPr>
      <w:r>
        <w:rPr>
          <w:noProof/>
        </w:rPr>
        <w:lastRenderedPageBreak/>
        <w:drawing>
          <wp:inline distT="0" distB="0" distL="0" distR="0" wp14:anchorId="652DC38D" wp14:editId="27B3E7CB">
            <wp:extent cx="1798320" cy="1082040"/>
            <wp:effectExtent l="0" t="0" r="0" b="381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44D9" w:rsidRDefault="003644D9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基於老齡化現象，智慧健康與醫療服務的科技應用，也正不斷衍生出新商品與服務模式。智慧健康與醫療服務的科技應用，正不斷地衍生出新商品與服務模式。</w:t>
      </w:r>
    </w:p>
    <w:p w:rsidR="0063071C" w:rsidRPr="007517AD" w:rsidRDefault="0063071C" w:rsidP="008F5339">
      <w:pPr>
        <w:pStyle w:val="10"/>
        <w:numPr>
          <w:ilvl w:val="0"/>
          <w:numId w:val="0"/>
        </w:numPr>
        <w:spacing w:before="0" w:after="0" w:line="240" w:lineRule="atLeast"/>
        <w:textAlignment w:val="center"/>
      </w:pPr>
      <w:bookmarkStart w:id="0" w:name="_GoBack"/>
      <w:r w:rsidRPr="007517AD">
        <w:rPr>
          <w:rFonts w:hint="eastAsia"/>
        </w:rPr>
        <w:t>工業機器人加速智慧製造</w:t>
      </w:r>
      <w:r>
        <w:rPr>
          <w:rFonts w:cs="新細明體"/>
          <w:noProof/>
          <w:color w:val="002060"/>
          <w:sz w:val="22"/>
        </w:rPr>
        <w:drawing>
          <wp:inline distT="0" distB="0" distL="0" distR="0" wp14:anchorId="2CB90FCB" wp14:editId="529F9ECF">
            <wp:extent cx="266265" cy="360000"/>
            <wp:effectExtent l="0" t="0" r="635" b="254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63071C" w:rsidRDefault="0063071C" w:rsidP="00114882">
      <w:pPr>
        <w:textAlignment w:val="center"/>
      </w:pPr>
      <w:r>
        <w:rPr>
          <w:noProof/>
        </w:rPr>
        <w:drawing>
          <wp:inline distT="0" distB="0" distL="0" distR="0" wp14:anchorId="509C50A7" wp14:editId="17CEEE43">
            <wp:extent cx="1798320" cy="1082040"/>
            <wp:effectExtent l="0" t="0" r="0" b="3810"/>
            <wp:docPr id="53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71C" w:rsidRPr="00441A7A" w:rsidRDefault="0063071C" w:rsidP="00A50A33">
      <w:pPr>
        <w:spacing w:line="240" w:lineRule="atLeast"/>
        <w:textAlignment w:val="center"/>
        <w:rPr>
          <w:rFonts w:ascii="微軟正黑體" w:eastAsia="微軟正黑體" w:hAnsi="微軟正黑體"/>
          <w:color w:val="1D1D1D"/>
          <w:sz w:val="20"/>
          <w:szCs w:val="20"/>
        </w:rPr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隨著工業4.0 的大浪潮，工業機器人的發展愈來愈快速，產品也不斷推陳出新。未來工業機器人將朝多樣化、簡易控制操作等方向邁進。</w:t>
      </w:r>
    </w:p>
    <w:p w:rsidR="003644D9" w:rsidRPr="007517AD" w:rsidRDefault="003644D9" w:rsidP="00114882">
      <w:pPr>
        <w:pStyle w:val="10"/>
        <w:numPr>
          <w:ilvl w:val="0"/>
          <w:numId w:val="0"/>
        </w:numPr>
        <w:spacing w:before="120" w:after="0" w:line="240" w:lineRule="atLeast"/>
        <w:textAlignment w:val="center"/>
      </w:pPr>
      <w:r w:rsidRPr="007517AD">
        <w:t>5G</w:t>
      </w:r>
      <w:r w:rsidRPr="007517AD">
        <w:rPr>
          <w:rFonts w:hint="eastAsia"/>
        </w:rPr>
        <w:t>蓄勢待發</w:t>
      </w:r>
      <w:r w:rsidRPr="00FC3093">
        <w:rPr>
          <w:noProof/>
        </w:rPr>
        <w:drawing>
          <wp:inline distT="0" distB="0" distL="0" distR="0" wp14:anchorId="3E0F1E10" wp14:editId="65012B7E">
            <wp:extent cx="266265" cy="360000"/>
            <wp:effectExtent l="0" t="0" r="635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4D9" w:rsidRDefault="003644D9" w:rsidP="00114882">
      <w:pPr>
        <w:textAlignment w:val="center"/>
      </w:pPr>
      <w:r>
        <w:rPr>
          <w:noProof/>
        </w:rPr>
        <w:drawing>
          <wp:inline distT="0" distB="0" distL="0" distR="0" wp14:anchorId="78EE7F40" wp14:editId="7094AB77">
            <wp:extent cx="1798320" cy="1082040"/>
            <wp:effectExtent l="0" t="0" r="0" b="381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44D9" w:rsidRDefault="003644D9" w:rsidP="00A50A33">
      <w:pPr>
        <w:spacing w:line="240" w:lineRule="atLeast"/>
        <w:textAlignment w:val="center"/>
      </w:pPr>
      <w:r w:rsidRPr="007517AD">
        <w:rPr>
          <w:rFonts w:ascii="微軟正黑體" w:eastAsia="微軟正黑體" w:hAnsi="微軟正黑體" w:cs="新細明體" w:hint="eastAsia"/>
          <w:color w:val="002060"/>
          <w:sz w:val="22"/>
          <w:szCs w:val="20"/>
        </w:rPr>
        <w:t>通訊領域，5G 技術影響著未來整個科技產業與人們的智慧生活發展趨勢，不僅將對人類的智慧應用生活再一次大翻轉，也將把全球科技產業的競逐，推向新的階段。</w:t>
      </w:r>
    </w:p>
    <w:p w:rsidR="003644D9" w:rsidRDefault="003644D9" w:rsidP="00114882">
      <w:pPr>
        <w:widowControl/>
        <w:spacing w:before="0" w:line="240" w:lineRule="auto"/>
      </w:pPr>
    </w:p>
    <w:sectPr w:rsidR="003644D9" w:rsidSect="0063071C">
      <w:type w:val="continuous"/>
      <w:pgSz w:w="11906" w:h="16838" w:code="9"/>
      <w:pgMar w:top="885" w:right="1123" w:bottom="885" w:left="1123" w:header="567" w:footer="567" w:gutter="0"/>
      <w:cols w:space="425"/>
      <w:docGrid w:linePitch="360" w:charSpace="74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88" w:rsidRDefault="00B47E88" w:rsidP="00605A99">
      <w:pPr>
        <w:spacing w:before="0" w:line="240" w:lineRule="auto"/>
      </w:pPr>
      <w:r>
        <w:separator/>
      </w:r>
    </w:p>
  </w:endnote>
  <w:endnote w:type="continuationSeparator" w:id="0">
    <w:p w:rsidR="00B47E88" w:rsidRDefault="00B47E88" w:rsidP="00605A9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88" w:rsidRDefault="00B47E88" w:rsidP="00605A99">
      <w:pPr>
        <w:spacing w:before="0" w:line="240" w:lineRule="auto"/>
      </w:pPr>
      <w:r>
        <w:separator/>
      </w:r>
    </w:p>
  </w:footnote>
  <w:footnote w:type="continuationSeparator" w:id="0">
    <w:p w:rsidR="00B47E88" w:rsidRDefault="00B47E88" w:rsidP="00605A99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C78"/>
    <w:multiLevelType w:val="multilevel"/>
    <w:tmpl w:val="EFECB74C"/>
    <w:numStyleLink w:val="1"/>
  </w:abstractNum>
  <w:abstractNum w:abstractNumId="1" w15:restartNumberingAfterBreak="0">
    <w:nsid w:val="43B71903"/>
    <w:multiLevelType w:val="multilevel"/>
    <w:tmpl w:val="EFECB74C"/>
    <w:styleLink w:val="1"/>
    <w:lvl w:ilvl="0">
      <w:start w:val="1"/>
      <w:numFmt w:val="decimal"/>
      <w:pStyle w:val="10"/>
      <w:suff w:val="space"/>
      <w:lvlText w:val="趨勢 %1》"/>
      <w:lvlJc w:val="left"/>
      <w:pPr>
        <w:ind w:left="360" w:hanging="360"/>
      </w:pPr>
      <w:rPr>
        <w:rFonts w:ascii="Arial" w:eastAsia="微軟正黑體" w:hAnsi="Arial" w:hint="default"/>
        <w:b/>
        <w:i w:val="0"/>
        <w:color w:val="00206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482"/>
  <w:drawingGridHorizontalSpacing w:val="57"/>
  <w:drawingGridVerticalSpacing w:val="57"/>
  <w:displayHorizontalDrawingGridEvery w:val="0"/>
  <w:doNotUseMarginsForDrawingGridOrigin/>
  <w:drawingGridHorizontalOrigin w:val="1123"/>
  <w:drawingGridVerticalOrigin w:val="885"/>
  <w:characterSpacingControl w:val="compressPunctuation"/>
  <w:hdrShapeDefaults>
    <o:shapedefaults v:ext="edit" spidmax="2049">
      <o:colormru v:ext="edit" colors="#fdfefc,#f2f9eb,#fef6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A7A"/>
    <w:rsid w:val="000070BD"/>
    <w:rsid w:val="00026C11"/>
    <w:rsid w:val="00037C1F"/>
    <w:rsid w:val="00037FC4"/>
    <w:rsid w:val="0005549F"/>
    <w:rsid w:val="00065BB1"/>
    <w:rsid w:val="00090B5E"/>
    <w:rsid w:val="000E2553"/>
    <w:rsid w:val="00114882"/>
    <w:rsid w:val="00122966"/>
    <w:rsid w:val="00181D27"/>
    <w:rsid w:val="001C341B"/>
    <w:rsid w:val="001E76F7"/>
    <w:rsid w:val="00207E3F"/>
    <w:rsid w:val="00244CA3"/>
    <w:rsid w:val="00251B33"/>
    <w:rsid w:val="002537DD"/>
    <w:rsid w:val="00270E0C"/>
    <w:rsid w:val="002A1C53"/>
    <w:rsid w:val="002A6E24"/>
    <w:rsid w:val="003101B7"/>
    <w:rsid w:val="003209EC"/>
    <w:rsid w:val="003644D9"/>
    <w:rsid w:val="003751B3"/>
    <w:rsid w:val="00375AF1"/>
    <w:rsid w:val="00441A7A"/>
    <w:rsid w:val="004A76CA"/>
    <w:rsid w:val="004D09CD"/>
    <w:rsid w:val="00502740"/>
    <w:rsid w:val="0051165A"/>
    <w:rsid w:val="00567CC8"/>
    <w:rsid w:val="005D20E2"/>
    <w:rsid w:val="00605A99"/>
    <w:rsid w:val="006128B6"/>
    <w:rsid w:val="0063071C"/>
    <w:rsid w:val="00644154"/>
    <w:rsid w:val="00646509"/>
    <w:rsid w:val="006731B0"/>
    <w:rsid w:val="00697ABE"/>
    <w:rsid w:val="006D203C"/>
    <w:rsid w:val="00742B0C"/>
    <w:rsid w:val="00747534"/>
    <w:rsid w:val="007517AD"/>
    <w:rsid w:val="007A5C56"/>
    <w:rsid w:val="00880DDA"/>
    <w:rsid w:val="00881324"/>
    <w:rsid w:val="00887AFD"/>
    <w:rsid w:val="0089799A"/>
    <w:rsid w:val="008B6852"/>
    <w:rsid w:val="008C55DC"/>
    <w:rsid w:val="008F5339"/>
    <w:rsid w:val="008F655E"/>
    <w:rsid w:val="00953469"/>
    <w:rsid w:val="009B31D5"/>
    <w:rsid w:val="009C33AD"/>
    <w:rsid w:val="00A24D29"/>
    <w:rsid w:val="00A31258"/>
    <w:rsid w:val="00A436B5"/>
    <w:rsid w:val="00A50A33"/>
    <w:rsid w:val="00A61CA6"/>
    <w:rsid w:val="00A70F58"/>
    <w:rsid w:val="00B06422"/>
    <w:rsid w:val="00B32274"/>
    <w:rsid w:val="00B47E88"/>
    <w:rsid w:val="00BD6F08"/>
    <w:rsid w:val="00C94EE0"/>
    <w:rsid w:val="00CB35E4"/>
    <w:rsid w:val="00CE3821"/>
    <w:rsid w:val="00CF39CD"/>
    <w:rsid w:val="00CF4820"/>
    <w:rsid w:val="00D01AF3"/>
    <w:rsid w:val="00D0649B"/>
    <w:rsid w:val="00D5644B"/>
    <w:rsid w:val="00D87749"/>
    <w:rsid w:val="00DA5BA4"/>
    <w:rsid w:val="00DC12CD"/>
    <w:rsid w:val="00DC3082"/>
    <w:rsid w:val="00E11E9A"/>
    <w:rsid w:val="00E56235"/>
    <w:rsid w:val="00E648C6"/>
    <w:rsid w:val="00E73024"/>
    <w:rsid w:val="00E80C66"/>
    <w:rsid w:val="00F26686"/>
    <w:rsid w:val="00F40C47"/>
    <w:rsid w:val="00FB61E1"/>
    <w:rsid w:val="00FC3093"/>
    <w:rsid w:val="00F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fefc,#f2f9eb,#fef6f0"/>
    </o:shapedefaults>
    <o:shapelayout v:ext="edit">
      <o:idmap v:ext="edit" data="1"/>
    </o:shapelayout>
  </w:shapeDefaults>
  <w:decimalSymbol w:val="."/>
  <w:listSeparator w:val=","/>
  <w15:chartTrackingRefBased/>
  <w15:docId w15:val="{FA0D6C7A-0796-48EE-BCBC-1856612A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E9A"/>
    <w:pPr>
      <w:widowControl w:val="0"/>
      <w:spacing w:before="120" w:line="288" w:lineRule="auto"/>
    </w:pPr>
  </w:style>
  <w:style w:type="paragraph" w:styleId="10">
    <w:name w:val="heading 1"/>
    <w:basedOn w:val="Web"/>
    <w:next w:val="a"/>
    <w:link w:val="11"/>
    <w:uiPriority w:val="9"/>
    <w:qFormat/>
    <w:rsid w:val="0089799A"/>
    <w:pPr>
      <w:numPr>
        <w:numId w:val="2"/>
      </w:numPr>
      <w:spacing w:before="240" w:beforeAutospacing="0" w:after="150" w:afterAutospacing="0" w:line="330" w:lineRule="atLeast"/>
      <w:outlineLvl w:val="0"/>
    </w:pPr>
    <w:rPr>
      <w:rFonts w:ascii="微軟正黑體" w:eastAsia="微軟正黑體" w:hAnsi="微軟正黑體"/>
      <w:b/>
      <w:color w:val="8E2979"/>
      <w:sz w:val="28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41A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eastAsia="zh-CN"/>
    </w:rPr>
  </w:style>
  <w:style w:type="character" w:customStyle="1" w:styleId="11">
    <w:name w:val="標題 1 字元"/>
    <w:basedOn w:val="a0"/>
    <w:link w:val="10"/>
    <w:uiPriority w:val="9"/>
    <w:rsid w:val="0089799A"/>
    <w:rPr>
      <w:rFonts w:ascii="微軟正黑體" w:eastAsia="微軟正黑體" w:hAnsi="微軟正黑體" w:cs="Times New Roman"/>
      <w:b/>
      <w:color w:val="8E2979"/>
      <w:kern w:val="0"/>
      <w:sz w:val="28"/>
      <w:szCs w:val="20"/>
    </w:rPr>
  </w:style>
  <w:style w:type="table" w:styleId="a3">
    <w:name w:val="Table Grid"/>
    <w:basedOn w:val="a1"/>
    <w:uiPriority w:val="39"/>
    <w:rsid w:val="001C3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樣式1"/>
    <w:uiPriority w:val="99"/>
    <w:rsid w:val="001C341B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605A99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a5">
    <w:name w:val="頁首 字元"/>
    <w:basedOn w:val="a0"/>
    <w:link w:val="a4"/>
    <w:uiPriority w:val="99"/>
    <w:rsid w:val="00605A99"/>
  </w:style>
  <w:style w:type="paragraph" w:styleId="a6">
    <w:name w:val="footer"/>
    <w:basedOn w:val="a"/>
    <w:link w:val="a7"/>
    <w:uiPriority w:val="99"/>
    <w:unhideWhenUsed/>
    <w:rsid w:val="00605A99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a7">
    <w:name w:val="頁尾 字元"/>
    <w:basedOn w:val="a0"/>
    <w:link w:val="a6"/>
    <w:uiPriority w:val="99"/>
    <w:rsid w:val="00605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陳淑卿</cp:lastModifiedBy>
  <cp:revision>16</cp:revision>
  <dcterms:created xsi:type="dcterms:W3CDTF">2018-07-14T11:22:00Z</dcterms:created>
  <dcterms:modified xsi:type="dcterms:W3CDTF">2018-08-15T02:14:00Z</dcterms:modified>
</cp:coreProperties>
</file>