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66C" w:rsidRPr="00F02196" w:rsidRDefault="0004366C" w:rsidP="00F02196">
      <w:pPr>
        <w:jc w:val="center"/>
        <w:rPr>
          <w:rFonts w:ascii="微軟正黑體" w:eastAsia="微軟正黑體" w:hAnsi="微軟正黑體"/>
          <w:b/>
          <w:bCs/>
          <w:color w:val="C00000"/>
          <w:szCs w:val="24"/>
        </w:rPr>
      </w:pPr>
      <w:r w:rsidRPr="00F02196">
        <w:rPr>
          <w:rFonts w:ascii="微軟正黑體" w:eastAsia="微軟正黑體" w:hAnsi="微軟正黑體" w:hint="eastAsia"/>
          <w:b/>
          <w:bCs/>
          <w:color w:val="C00000"/>
          <w:szCs w:val="24"/>
        </w:rPr>
        <w:t>鴻運人壽保險經理人教育訓練成績表</w:t>
      </w:r>
      <w:r w:rsidRPr="00F02196">
        <w:rPr>
          <w:rFonts w:ascii="微軟正黑體" w:eastAsia="微軟正黑體" w:hAnsi="微軟正黑體"/>
          <w:b/>
          <w:bCs/>
          <w:color w:val="C00000"/>
          <w:szCs w:val="24"/>
        </w:rPr>
        <w:t>(</w:t>
      </w:r>
      <w:r w:rsidRPr="00F02196">
        <w:rPr>
          <w:rFonts w:ascii="微軟正黑體" w:eastAsia="微軟正黑體" w:hAnsi="微軟正黑體" w:hint="eastAsia"/>
          <w:b/>
          <w:bCs/>
          <w:color w:val="C00000"/>
          <w:szCs w:val="24"/>
        </w:rPr>
        <w:t>修改前</w:t>
      </w:r>
      <w:r w:rsidRPr="00F02196">
        <w:rPr>
          <w:rFonts w:ascii="微軟正黑體" w:eastAsia="微軟正黑體" w:hAnsi="微軟正黑體"/>
          <w:b/>
          <w:bCs/>
          <w:color w:val="C00000"/>
          <w:szCs w:val="24"/>
        </w:rPr>
        <w:t>)</w:t>
      </w:r>
    </w:p>
    <w:p w:rsidR="0004366C" w:rsidRPr="00F02196" w:rsidRDefault="0004366C">
      <w:pPr>
        <w:tabs>
          <w:tab w:val="left" w:pos="2640"/>
          <w:tab w:val="left" w:pos="5640"/>
          <w:tab w:val="left" w:pos="10320"/>
        </w:tabs>
        <w:ind w:left="142"/>
        <w:rPr>
          <w:rFonts w:ascii="微軟正黑體" w:eastAsia="微軟正黑體" w:hAnsi="微軟正黑體"/>
          <w:sz w:val="14"/>
          <w:szCs w:val="14"/>
        </w:rPr>
      </w:pPr>
      <w:r w:rsidRPr="00F02196">
        <w:rPr>
          <w:rFonts w:ascii="微軟正黑體" w:eastAsia="微軟正黑體" w:hAnsi="微軟正黑體" w:hint="eastAsia"/>
          <w:sz w:val="14"/>
          <w:szCs w:val="14"/>
        </w:rPr>
        <w:t>單</w:t>
      </w:r>
      <w:r w:rsidRPr="00F02196">
        <w:rPr>
          <w:rFonts w:ascii="微軟正黑體" w:eastAsia="微軟正黑體" w:hAnsi="微軟正黑體"/>
          <w:sz w:val="14"/>
          <w:szCs w:val="14"/>
        </w:rPr>
        <w:t xml:space="preserve"> 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位：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專招高雄</w:t>
      </w:r>
      <w:proofErr w:type="gramEnd"/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姓</w:t>
      </w:r>
      <w:r w:rsidRPr="00F02196">
        <w:rPr>
          <w:rFonts w:ascii="微軟正黑體" w:eastAsia="微軟正黑體" w:hAnsi="微軟正黑體"/>
          <w:sz w:val="14"/>
          <w:szCs w:val="14"/>
        </w:rPr>
        <w:t xml:space="preserve"> 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名：陳少穎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身份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証</w:t>
      </w:r>
      <w:proofErr w:type="gramEnd"/>
      <w:r w:rsidRPr="00F02196">
        <w:rPr>
          <w:rFonts w:ascii="微軟正黑體" w:eastAsia="微軟正黑體" w:hAnsi="微軟正黑體" w:hint="eastAsia"/>
          <w:sz w:val="14"/>
          <w:szCs w:val="14"/>
        </w:rPr>
        <w:t>字號：A112539688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登錄日期：</w:t>
      </w:r>
      <w:r w:rsidRPr="00F02196">
        <w:rPr>
          <w:rFonts w:ascii="微軟正黑體" w:eastAsia="微軟正黑體" w:hAnsi="微軟正黑體"/>
          <w:sz w:val="14"/>
          <w:szCs w:val="14"/>
        </w:rPr>
        <w:t>8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5</w:t>
      </w:r>
      <w:r w:rsidRPr="00F02196">
        <w:rPr>
          <w:rFonts w:ascii="微軟正黑體" w:eastAsia="微軟正黑體" w:hAnsi="微軟正黑體"/>
          <w:sz w:val="14"/>
          <w:szCs w:val="14"/>
        </w:rPr>
        <w:t>.09.0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2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928"/>
        <w:gridCol w:w="392"/>
        <w:gridCol w:w="644"/>
        <w:gridCol w:w="644"/>
        <w:gridCol w:w="924"/>
        <w:gridCol w:w="336"/>
        <w:gridCol w:w="658"/>
        <w:gridCol w:w="658"/>
        <w:gridCol w:w="937"/>
        <w:gridCol w:w="364"/>
        <w:gridCol w:w="658"/>
        <w:gridCol w:w="629"/>
        <w:gridCol w:w="939"/>
        <w:gridCol w:w="364"/>
        <w:gridCol w:w="645"/>
        <w:gridCol w:w="629"/>
        <w:gridCol w:w="934"/>
        <w:gridCol w:w="377"/>
        <w:gridCol w:w="672"/>
        <w:gridCol w:w="658"/>
      </w:tblGrid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編號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第一年度科目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第二年度科目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第三年度科目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第四年度科目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第五年度科目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商品知識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增員與選才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84.06.10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napToGrid w:val="0"/>
              <w:spacing w:line="2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遺產贈與稅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組織與訓練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再保險概論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投保實務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媒體運用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84.06.12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投資與理財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報表管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堙</w:t>
            </w:r>
            <w:proofErr w:type="gramEnd"/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保險醫學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推銷技巧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D1288F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理賠案例解析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客戶管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堙</w:t>
            </w:r>
            <w:proofErr w:type="gramEnd"/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目標市場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電腦運用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社會保險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D1288F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個人綜合所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激發潛能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目標管理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壽險數理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壽險稅法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D1288F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良好工作習慣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時間管理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醫務核保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事業規劃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風險選擇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自我推銷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保險法令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自我管理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83.08.29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保險法規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83.08.30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溝通技巧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市場開拓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生活設計</w:t>
            </w:r>
          </w:p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與</w:t>
            </w:r>
          </w:p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核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保實險</w:t>
            </w:r>
            <w:proofErr w:type="gramEnd"/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理賠實務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生涯規劃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83.09.07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trHeight w:hRule="exact" w:val="48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售後服務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 w:rsidTr="00F02196">
        <w:trPr>
          <w:cantSplit/>
          <w:trHeight w:hRule="exact" w:val="480"/>
        </w:trPr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第一年度完訓日期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83.09.08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第二年度完訓日期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84.06.16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第三年度完訓日期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85.08.07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第四年度完訓日期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86.06.16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第五年度完訓日期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6C" w:rsidRPr="00D1288F" w:rsidRDefault="0004366C" w:rsidP="00F02196">
            <w:pPr>
              <w:tabs>
                <w:tab w:val="left" w:pos="2880"/>
                <w:tab w:val="left" w:pos="6120"/>
                <w:tab w:val="left" w:pos="9840"/>
              </w:tabs>
              <w:spacing w:line="300" w:lineRule="atLeast"/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87.07.17</w:t>
            </w:r>
          </w:p>
        </w:tc>
      </w:tr>
    </w:tbl>
    <w:p w:rsidR="0004366C" w:rsidRPr="00F02196" w:rsidRDefault="0004366C" w:rsidP="00F02196">
      <w:pPr>
        <w:tabs>
          <w:tab w:val="left" w:pos="2880"/>
          <w:tab w:val="left" w:pos="6120"/>
          <w:tab w:val="left" w:pos="7440"/>
          <w:tab w:val="left" w:pos="9840"/>
        </w:tabs>
        <w:ind w:left="142"/>
        <w:rPr>
          <w:rFonts w:ascii="微軟正黑體" w:eastAsia="微軟正黑體" w:hAnsi="微軟正黑體"/>
          <w:sz w:val="14"/>
          <w:szCs w:val="14"/>
        </w:rPr>
      </w:pP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註</w:t>
      </w:r>
      <w:proofErr w:type="gramEnd"/>
      <w:r w:rsidRPr="00F02196">
        <w:rPr>
          <w:rFonts w:ascii="微軟正黑體" w:eastAsia="微軟正黑體" w:hAnsi="微軟正黑體" w:hint="eastAsia"/>
          <w:sz w:val="14"/>
          <w:szCs w:val="14"/>
        </w:rPr>
        <w:t>：授課時數除目標管理、醫務核保、保險醫學及壽險數理為三小時外，其餘皆為二小時。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單位主管簽章：</w:t>
      </w:r>
    </w:p>
    <w:p w:rsidR="0004366C" w:rsidRPr="00F02196" w:rsidRDefault="0004366C" w:rsidP="00F02196">
      <w:pPr>
        <w:tabs>
          <w:tab w:val="left" w:pos="2880"/>
          <w:tab w:val="left" w:pos="6120"/>
          <w:tab w:val="left" w:pos="7440"/>
          <w:tab w:val="left" w:pos="9840"/>
        </w:tabs>
        <w:ind w:left="142"/>
        <w:rPr>
          <w:rFonts w:ascii="微軟正黑體" w:eastAsia="微軟正黑體" w:hAnsi="微軟正黑體"/>
          <w:b/>
          <w:bCs/>
          <w:color w:val="C00000"/>
          <w:szCs w:val="24"/>
        </w:rPr>
      </w:pPr>
      <w:r w:rsidRPr="00F02196">
        <w:rPr>
          <w:rFonts w:ascii="微軟正黑體" w:eastAsia="微軟正黑體" w:hAnsi="微軟正黑體"/>
          <w:sz w:val="18"/>
          <w:szCs w:val="18"/>
        </w:rPr>
        <w:br w:type="page"/>
      </w:r>
      <w:r w:rsidRPr="00F02196">
        <w:rPr>
          <w:rFonts w:ascii="微軟正黑體" w:eastAsia="微軟正黑體" w:hAnsi="微軟正黑體" w:hint="eastAsia"/>
          <w:sz w:val="18"/>
          <w:szCs w:val="18"/>
        </w:rPr>
        <w:lastRenderedPageBreak/>
        <w:t>附件一</w:t>
      </w:r>
      <w:r w:rsidRPr="00F02196">
        <w:rPr>
          <w:rFonts w:ascii="微軟正黑體" w:eastAsia="微軟正黑體" w:hAnsi="微軟正黑體"/>
          <w:sz w:val="18"/>
          <w:szCs w:val="18"/>
        </w:rPr>
        <w:tab/>
      </w:r>
      <w:r w:rsidRPr="00F02196">
        <w:rPr>
          <w:rFonts w:ascii="微軟正黑體" w:eastAsia="微軟正黑體" w:hAnsi="微軟正黑體" w:hint="eastAsia"/>
          <w:sz w:val="18"/>
          <w:szCs w:val="18"/>
        </w:rPr>
        <w:t xml:space="preserve">                </w:t>
      </w:r>
      <w:r w:rsidRPr="00F02196">
        <w:rPr>
          <w:rFonts w:ascii="微軟正黑體" w:eastAsia="微軟正黑體" w:hAnsi="微軟正黑體" w:hint="eastAsia"/>
          <w:b/>
          <w:bCs/>
          <w:color w:val="C00000"/>
          <w:szCs w:val="24"/>
        </w:rPr>
        <w:t>鴻運人壽保險經理人教育訓練成績表</w:t>
      </w:r>
      <w:r w:rsidRPr="00F02196">
        <w:rPr>
          <w:rFonts w:ascii="微軟正黑體" w:eastAsia="微軟正黑體" w:hAnsi="微軟正黑體"/>
          <w:b/>
          <w:bCs/>
          <w:color w:val="C00000"/>
          <w:szCs w:val="24"/>
        </w:rPr>
        <w:t>(</w:t>
      </w:r>
      <w:r w:rsidRPr="00F02196">
        <w:rPr>
          <w:rFonts w:ascii="微軟正黑體" w:eastAsia="微軟正黑體" w:hAnsi="微軟正黑體" w:hint="eastAsia"/>
          <w:b/>
          <w:bCs/>
          <w:color w:val="C00000"/>
          <w:szCs w:val="24"/>
        </w:rPr>
        <w:t>修改後</w:t>
      </w:r>
      <w:r w:rsidRPr="00F02196">
        <w:rPr>
          <w:rFonts w:ascii="微軟正黑體" w:eastAsia="微軟正黑體" w:hAnsi="微軟正黑體"/>
          <w:b/>
          <w:bCs/>
          <w:color w:val="C00000"/>
          <w:szCs w:val="24"/>
        </w:rPr>
        <w:t>)</w:t>
      </w:r>
    </w:p>
    <w:p w:rsidR="0004366C" w:rsidRPr="00F02196" w:rsidRDefault="0004366C">
      <w:pPr>
        <w:tabs>
          <w:tab w:val="left" w:pos="2760"/>
          <w:tab w:val="left" w:pos="6240"/>
          <w:tab w:val="left" w:pos="10200"/>
        </w:tabs>
        <w:ind w:left="142"/>
        <w:rPr>
          <w:rFonts w:ascii="微軟正黑體" w:eastAsia="微軟正黑體" w:hAnsi="微軟正黑體"/>
          <w:sz w:val="14"/>
          <w:szCs w:val="14"/>
        </w:rPr>
      </w:pPr>
      <w:r w:rsidRPr="00F02196">
        <w:rPr>
          <w:rFonts w:ascii="微軟正黑體" w:eastAsia="微軟正黑體" w:hAnsi="微軟正黑體" w:hint="eastAsia"/>
          <w:sz w:val="14"/>
          <w:szCs w:val="14"/>
        </w:rPr>
        <w:t>單</w:t>
      </w:r>
      <w:r w:rsidRPr="00F02196">
        <w:rPr>
          <w:rFonts w:ascii="微軟正黑體" w:eastAsia="微軟正黑體" w:hAnsi="微軟正黑體"/>
          <w:sz w:val="14"/>
          <w:szCs w:val="14"/>
        </w:rPr>
        <w:t xml:space="preserve"> 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位：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專招高雄</w:t>
      </w:r>
      <w:proofErr w:type="gramEnd"/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姓</w:t>
      </w:r>
      <w:r w:rsidRPr="00F02196">
        <w:rPr>
          <w:rFonts w:ascii="微軟正黑體" w:eastAsia="微軟正黑體" w:hAnsi="微軟正黑體"/>
          <w:sz w:val="14"/>
          <w:szCs w:val="14"/>
        </w:rPr>
        <w:t xml:space="preserve"> 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名：陳少穎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身份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証</w:t>
      </w:r>
      <w:proofErr w:type="gramEnd"/>
      <w:r w:rsidRPr="00F02196">
        <w:rPr>
          <w:rFonts w:ascii="微軟正黑體" w:eastAsia="微軟正黑體" w:hAnsi="微軟正黑體" w:hint="eastAsia"/>
          <w:sz w:val="14"/>
          <w:szCs w:val="14"/>
        </w:rPr>
        <w:t>字號：A112539688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登錄日期：</w:t>
      </w:r>
      <w:r w:rsidRPr="00F02196">
        <w:rPr>
          <w:rFonts w:ascii="微軟正黑體" w:eastAsia="微軟正黑體" w:hAnsi="微軟正黑體"/>
          <w:sz w:val="14"/>
          <w:szCs w:val="14"/>
        </w:rPr>
        <w:t>8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5</w:t>
      </w:r>
      <w:r w:rsidRPr="00F02196">
        <w:rPr>
          <w:rFonts w:ascii="微軟正黑體" w:eastAsia="微軟正黑體" w:hAnsi="微軟正黑體"/>
          <w:sz w:val="14"/>
          <w:szCs w:val="14"/>
        </w:rPr>
        <w:t>.09.0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2</w:t>
      </w:r>
    </w:p>
    <w:tbl>
      <w:tblPr>
        <w:tblW w:w="0" w:type="auto"/>
        <w:tblInd w:w="1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928"/>
        <w:gridCol w:w="392"/>
        <w:gridCol w:w="644"/>
        <w:gridCol w:w="644"/>
        <w:gridCol w:w="924"/>
        <w:gridCol w:w="336"/>
        <w:gridCol w:w="658"/>
        <w:gridCol w:w="658"/>
        <w:gridCol w:w="937"/>
        <w:gridCol w:w="364"/>
        <w:gridCol w:w="658"/>
        <w:gridCol w:w="629"/>
        <w:gridCol w:w="939"/>
        <w:gridCol w:w="364"/>
        <w:gridCol w:w="645"/>
        <w:gridCol w:w="629"/>
        <w:gridCol w:w="934"/>
        <w:gridCol w:w="377"/>
        <w:gridCol w:w="672"/>
        <w:gridCol w:w="658"/>
      </w:tblGrid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編號</w:t>
            </w:r>
          </w:p>
        </w:tc>
        <w:tc>
          <w:tcPr>
            <w:tcW w:w="9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第一年度科目</w:t>
            </w:r>
          </w:p>
        </w:tc>
        <w:tc>
          <w:tcPr>
            <w:tcW w:w="3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2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第二年度科目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第三年度科目</w:t>
            </w:r>
          </w:p>
        </w:tc>
        <w:tc>
          <w:tcPr>
            <w:tcW w:w="3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第四年度科目</w:t>
            </w:r>
          </w:p>
        </w:tc>
        <w:tc>
          <w:tcPr>
            <w:tcW w:w="3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第五年度科目</w:t>
            </w:r>
          </w:p>
        </w:tc>
        <w:tc>
          <w:tcPr>
            <w:tcW w:w="3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成績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參訓日期</w:t>
            </w:r>
            <w:proofErr w:type="gramEnd"/>
          </w:p>
        </w:tc>
        <w:tc>
          <w:tcPr>
            <w:tcW w:w="6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講師簽章</w:t>
            </w: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商品知識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增員與選才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遺產稅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與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贈與稅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組織與訓練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再保險概論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投保實務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媒體運用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投資與理財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報表管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堙</w:t>
            </w:r>
            <w:proofErr w:type="gramEnd"/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保險醫學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推銷技巧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理賠案例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解析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客戶管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堙</w:t>
            </w:r>
            <w:proofErr w:type="gramEnd"/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目標市場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電腦運用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社會保險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個人綜合所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得稅與營利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事業所得稅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激發潛能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目標管理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壽險數理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壽險稅法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良好的工作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習慣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時間管理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醫務核保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事業規劃</w:t>
            </w: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6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風險選擇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自我推銷</w:t>
            </w: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保險法令</w:t>
            </w: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7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自我管理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8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保險法規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9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溝通技巧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10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市場開拓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11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生活設計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與</w:t>
            </w:r>
          </w:p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壽險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12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核</w:t>
            </w:r>
            <w:proofErr w:type="gramStart"/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保實險</w:t>
            </w:r>
            <w:proofErr w:type="gramEnd"/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13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理賠實務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14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生涯規劃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15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售後服務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trHeight w:hRule="exact" w:val="440"/>
        </w:trPr>
        <w:tc>
          <w:tcPr>
            <w:tcW w:w="3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/>
                <w:sz w:val="14"/>
                <w:szCs w:val="14"/>
              </w:rPr>
              <w:t>16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年金保險</w:t>
            </w:r>
          </w:p>
        </w:tc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  <w:tr w:rsidR="0004366C" w:rsidRPr="00F02196">
        <w:trPr>
          <w:cantSplit/>
          <w:trHeight w:hRule="exact" w:val="440"/>
        </w:trPr>
        <w:tc>
          <w:tcPr>
            <w:tcW w:w="170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第一年度完訓日期</w:t>
            </w:r>
          </w:p>
        </w:tc>
        <w:tc>
          <w:tcPr>
            <w:tcW w:w="128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第二年度完訓日期</w:t>
            </w:r>
          </w:p>
        </w:tc>
        <w:tc>
          <w:tcPr>
            <w:tcW w:w="131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第三年度完訓日期</w:t>
            </w: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第四年度完訓日期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  <w:r w:rsidRPr="00D1288F">
              <w:rPr>
                <w:rFonts w:ascii="微軟正黑體" w:eastAsia="微軟正黑體" w:hAnsi="微軟正黑體" w:hint="eastAsia"/>
                <w:sz w:val="14"/>
                <w:szCs w:val="14"/>
              </w:rPr>
              <w:t>第五年度完訓日期</w:t>
            </w:r>
          </w:p>
        </w:tc>
        <w:tc>
          <w:tcPr>
            <w:tcW w:w="133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66C" w:rsidRPr="00D1288F" w:rsidRDefault="0004366C">
            <w:pPr>
              <w:tabs>
                <w:tab w:val="left" w:pos="2880"/>
                <w:tab w:val="left" w:pos="6120"/>
                <w:tab w:val="left" w:pos="9840"/>
              </w:tabs>
              <w:jc w:val="center"/>
              <w:rPr>
                <w:rFonts w:ascii="微軟正黑體" w:eastAsia="微軟正黑體" w:hAnsi="微軟正黑體"/>
                <w:sz w:val="14"/>
                <w:szCs w:val="14"/>
              </w:rPr>
            </w:pPr>
          </w:p>
        </w:tc>
      </w:tr>
    </w:tbl>
    <w:p w:rsidR="0004366C" w:rsidRPr="00F02196" w:rsidRDefault="0004366C">
      <w:pPr>
        <w:tabs>
          <w:tab w:val="left" w:pos="2880"/>
          <w:tab w:val="left" w:pos="6120"/>
          <w:tab w:val="left" w:pos="7440"/>
          <w:tab w:val="left" w:pos="9480"/>
          <w:tab w:val="left" w:pos="9840"/>
        </w:tabs>
        <w:spacing w:line="180" w:lineRule="exact"/>
        <w:ind w:left="142"/>
        <w:rPr>
          <w:rFonts w:ascii="微軟正黑體" w:eastAsia="微軟正黑體" w:hAnsi="微軟正黑體"/>
          <w:sz w:val="14"/>
          <w:szCs w:val="14"/>
        </w:rPr>
      </w:pP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註</w:t>
      </w:r>
      <w:proofErr w:type="gramEnd"/>
      <w:r w:rsidRPr="00F02196">
        <w:rPr>
          <w:rFonts w:ascii="微軟正黑體" w:eastAsia="微軟正黑體" w:hAnsi="微軟正黑體"/>
          <w:sz w:val="14"/>
          <w:szCs w:val="14"/>
        </w:rPr>
        <w:t>1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：授課時數除目標管理、醫務核保、保險醫學及壽險數理為三小時外，其餘皆為二小時。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/>
          <w:sz w:val="14"/>
          <w:szCs w:val="14"/>
        </w:rPr>
        <w:tab/>
      </w:r>
    </w:p>
    <w:p w:rsidR="0004366C" w:rsidRPr="00F02196" w:rsidRDefault="0004366C">
      <w:pPr>
        <w:tabs>
          <w:tab w:val="left" w:pos="2880"/>
          <w:tab w:val="left" w:pos="6120"/>
          <w:tab w:val="left" w:pos="7440"/>
          <w:tab w:val="left" w:pos="9840"/>
        </w:tabs>
        <w:spacing w:line="180" w:lineRule="exact"/>
        <w:ind w:left="142"/>
        <w:rPr>
          <w:rFonts w:ascii="微軟正黑體" w:eastAsia="微軟正黑體" w:hAnsi="微軟正黑體"/>
          <w:sz w:val="14"/>
          <w:szCs w:val="14"/>
        </w:rPr>
      </w:pP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註</w:t>
      </w:r>
      <w:proofErr w:type="gramEnd"/>
      <w:r w:rsidRPr="00F02196">
        <w:rPr>
          <w:rFonts w:ascii="微軟正黑體" w:eastAsia="微軟正黑體" w:hAnsi="微軟正黑體"/>
          <w:sz w:val="14"/>
          <w:szCs w:val="14"/>
        </w:rPr>
        <w:t>2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：依財政部八十六年七月一日頒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佈</w:t>
      </w:r>
      <w:proofErr w:type="gramEnd"/>
      <w:r w:rsidRPr="00F02196">
        <w:rPr>
          <w:rFonts w:ascii="微軟正黑體" w:eastAsia="微軟正黑體" w:hAnsi="微軟正黑體" w:hint="eastAsia"/>
          <w:sz w:val="14"/>
          <w:szCs w:val="14"/>
        </w:rPr>
        <w:t>之「年金保險費率之規範及示範修改」增列第一年度科目「年金保險」二小時。</w:t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/>
          <w:sz w:val="14"/>
          <w:szCs w:val="14"/>
        </w:rPr>
        <w:tab/>
      </w:r>
      <w:r w:rsidRPr="00F02196">
        <w:rPr>
          <w:rFonts w:ascii="微軟正黑體" w:eastAsia="微軟正黑體" w:hAnsi="微軟正黑體" w:hint="eastAsia"/>
          <w:sz w:val="14"/>
          <w:szCs w:val="14"/>
        </w:rPr>
        <w:t>單位主管簽章：</w:t>
      </w:r>
    </w:p>
    <w:p w:rsidR="00076F66" w:rsidRPr="0004366C" w:rsidRDefault="0004366C" w:rsidP="0004366C">
      <w:pPr>
        <w:tabs>
          <w:tab w:val="left" w:pos="2880"/>
          <w:tab w:val="left" w:pos="6120"/>
          <w:tab w:val="left" w:pos="7440"/>
          <w:tab w:val="left" w:pos="9840"/>
        </w:tabs>
        <w:spacing w:line="180" w:lineRule="exact"/>
        <w:ind w:left="142"/>
        <w:rPr>
          <w:rFonts w:ascii="微軟正黑體" w:eastAsia="微軟正黑體" w:hAnsi="微軟正黑體"/>
        </w:rPr>
      </w:pP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註</w:t>
      </w:r>
      <w:proofErr w:type="gramEnd"/>
      <w:r w:rsidRPr="00F02196">
        <w:rPr>
          <w:rFonts w:ascii="微軟正黑體" w:eastAsia="微軟正黑體" w:hAnsi="微軟正黑體"/>
          <w:sz w:val="14"/>
          <w:szCs w:val="14"/>
        </w:rPr>
        <w:t>3</w:t>
      </w:r>
      <w:r w:rsidRPr="00F02196">
        <w:rPr>
          <w:rFonts w:ascii="微軟正黑體" w:eastAsia="微軟正黑體" w:hAnsi="微軟正黑體" w:hint="eastAsia"/>
          <w:sz w:val="14"/>
          <w:szCs w:val="14"/>
        </w:rPr>
        <w:t>：每年度完訓日期與該年度最後完訓</w:t>
      </w:r>
      <w:proofErr w:type="gramStart"/>
      <w:r w:rsidRPr="00F02196">
        <w:rPr>
          <w:rFonts w:ascii="微軟正黑體" w:eastAsia="微軟正黑體" w:hAnsi="微軟正黑體" w:hint="eastAsia"/>
          <w:sz w:val="14"/>
          <w:szCs w:val="14"/>
        </w:rPr>
        <w:t>科目參訓日期</w:t>
      </w:r>
      <w:proofErr w:type="gramEnd"/>
      <w:r w:rsidRPr="00F02196">
        <w:rPr>
          <w:rFonts w:ascii="微軟正黑體" w:eastAsia="微軟正黑體" w:hAnsi="微軟正黑體" w:hint="eastAsia"/>
          <w:sz w:val="14"/>
          <w:szCs w:val="14"/>
        </w:rPr>
        <w:t>一致。</w:t>
      </w:r>
      <w:bookmarkStart w:id="0" w:name="_GoBack"/>
      <w:bookmarkEnd w:id="0"/>
    </w:p>
    <w:sectPr w:rsidR="00076F66" w:rsidRPr="0004366C" w:rsidSect="006B4525">
      <w:pgSz w:w="14175" w:h="9979" w:orient="landscape" w:code="9"/>
      <w:pgMar w:top="284" w:right="284" w:bottom="284" w:left="284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66C"/>
    <w:rsid w:val="0004366C"/>
    <w:rsid w:val="0007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2011-02-22T07:17:00Z</dcterms:created>
  <dcterms:modified xsi:type="dcterms:W3CDTF">2011-02-22T07:19:00Z</dcterms:modified>
</cp:coreProperties>
</file>