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764" w:rsidRPr="004B3764" w:rsidRDefault="004B3764" w:rsidP="004B3764">
      <w:pPr>
        <w:spacing w:before="180" w:after="180"/>
        <w:jc w:val="center"/>
        <w:rPr>
          <w:rFonts w:ascii="標楷體" w:eastAsia="標楷體" w:hAnsi="細明體" w:cs="細明體"/>
          <w:b/>
          <w:sz w:val="40"/>
        </w:rPr>
      </w:pPr>
      <w:r w:rsidRPr="004B3764">
        <w:rPr>
          <w:rFonts w:ascii="標楷體" w:eastAsia="標楷體" w:hAnsi="細明體" w:cs="細明體" w:hint="eastAsia"/>
          <w:b/>
          <w:sz w:val="40"/>
        </w:rPr>
        <w:t>淡江大學資訊管理學系碩士班</w:t>
      </w:r>
      <w:r w:rsidRPr="004B3764">
        <w:rPr>
          <w:rFonts w:ascii="標楷體" w:eastAsia="標楷體" w:hAnsi="細明體" w:cs="細明體"/>
          <w:b/>
          <w:sz w:val="40"/>
        </w:rPr>
        <w:br/>
      </w:r>
      <w:r w:rsidRPr="004B3764">
        <w:rPr>
          <w:rFonts w:ascii="標楷體" w:eastAsia="標楷體" w:hAnsi="細明體" w:cs="細明體" w:hint="eastAsia"/>
          <w:b/>
          <w:sz w:val="40"/>
        </w:rPr>
        <w:t>碩士論文</w:t>
      </w:r>
    </w:p>
    <w:p w:rsidR="004B3764" w:rsidRPr="001922AC" w:rsidRDefault="004B3764" w:rsidP="001922AC">
      <w:pPr>
        <w:spacing w:before="180" w:after="180"/>
        <w:jc w:val="center"/>
        <w:rPr>
          <w:rFonts w:ascii="標楷體" w:eastAsia="標楷體" w:hAnsi="細明體" w:cs="細明體"/>
          <w:b/>
          <w:sz w:val="40"/>
        </w:rPr>
      </w:pPr>
      <w:r w:rsidRPr="001922AC">
        <w:rPr>
          <w:rFonts w:ascii="標楷體" w:eastAsia="標楷體" w:hAnsi="細明體" w:cs="細明體" w:hint="eastAsia"/>
          <w:b/>
          <w:sz w:val="40"/>
        </w:rPr>
        <w:t>指導教授：楊明玉博士</w:t>
      </w:r>
    </w:p>
    <w:p w:rsidR="004B3764" w:rsidRPr="001922AC" w:rsidRDefault="004B3764" w:rsidP="001922AC">
      <w:pPr>
        <w:spacing w:before="180" w:after="180"/>
        <w:jc w:val="center"/>
        <w:rPr>
          <w:rFonts w:ascii="標楷體" w:eastAsia="標楷體" w:hAnsi="細明體" w:cs="細明體"/>
          <w:b/>
          <w:sz w:val="52"/>
        </w:rPr>
      </w:pPr>
      <w:r w:rsidRPr="001922AC">
        <w:rPr>
          <w:rFonts w:ascii="標楷體" w:eastAsia="標楷體" w:hAnsi="細明體" w:cs="細明體" w:hint="eastAsia"/>
          <w:b/>
          <w:sz w:val="52"/>
        </w:rPr>
        <w:t>高職聽覺障礙生學習策略與</w:t>
      </w:r>
      <w:r w:rsidR="001922AC" w:rsidRPr="001922AC">
        <w:rPr>
          <w:rFonts w:ascii="標楷體" w:eastAsia="標楷體" w:hAnsi="細明體" w:cs="細明體"/>
          <w:b/>
          <w:sz w:val="52"/>
        </w:rPr>
        <w:br/>
      </w:r>
      <w:r w:rsidRPr="001922AC">
        <w:rPr>
          <w:rFonts w:ascii="標楷體" w:eastAsia="標楷體" w:hAnsi="細明體" w:cs="細明體" w:hint="eastAsia"/>
          <w:b/>
          <w:sz w:val="52"/>
        </w:rPr>
        <w:t>學習成效相關因素研究</w:t>
      </w:r>
    </w:p>
    <w:p w:rsidR="004B3764" w:rsidRPr="001922AC" w:rsidRDefault="004B3764" w:rsidP="001922AC">
      <w:pPr>
        <w:spacing w:before="180" w:after="180"/>
        <w:jc w:val="center"/>
        <w:rPr>
          <w:rFonts w:ascii="標楷體" w:eastAsia="標楷體" w:hAnsi="細明體" w:cs="細明體"/>
          <w:b/>
          <w:sz w:val="40"/>
        </w:rPr>
      </w:pPr>
      <w:r w:rsidRPr="001922AC">
        <w:rPr>
          <w:rFonts w:ascii="標楷體" w:eastAsia="標楷體" w:hAnsi="細明體" w:cs="細明體" w:hint="eastAsia"/>
          <w:b/>
          <w:sz w:val="40"/>
        </w:rPr>
        <w:t>研究生：蔡宗軒</w:t>
      </w:r>
      <w:proofErr w:type="gramStart"/>
      <w:r w:rsidRPr="001922AC">
        <w:rPr>
          <w:rFonts w:ascii="標楷體" w:eastAsia="標楷體" w:hAnsi="細明體" w:cs="細明體" w:hint="eastAsia"/>
          <w:b/>
          <w:sz w:val="40"/>
        </w:rPr>
        <w:t>撰</w:t>
      </w:r>
      <w:proofErr w:type="gramEnd"/>
    </w:p>
    <w:p w:rsidR="004B3764" w:rsidRPr="001922AC" w:rsidRDefault="004B3764" w:rsidP="001922AC">
      <w:pPr>
        <w:spacing w:before="180" w:after="180"/>
        <w:jc w:val="center"/>
        <w:rPr>
          <w:rFonts w:ascii="標楷體" w:eastAsia="標楷體" w:hAnsi="細明體" w:cs="細明體"/>
          <w:b/>
          <w:sz w:val="40"/>
        </w:rPr>
      </w:pPr>
      <w:r w:rsidRPr="001922AC">
        <w:rPr>
          <w:rFonts w:ascii="標楷體" w:eastAsia="標楷體" w:hAnsi="細明體" w:cs="細明體" w:hint="eastAsia"/>
          <w:b/>
          <w:sz w:val="40"/>
        </w:rPr>
        <w:t>中華民國 97 年6 月</w:t>
      </w:r>
    </w:p>
    <w:p w:rsidR="001922AC" w:rsidRDefault="001922AC" w:rsidP="0045566E">
      <w:pPr>
        <w:rPr>
          <w:rFonts w:ascii="細明體" w:eastAsia="細明體" w:hAnsi="細明體" w:cs="細明體"/>
        </w:rPr>
        <w:sectPr w:rsidR="001922AC" w:rsidSect="00D91041">
          <w:headerReference w:type="default" r:id="rId8"/>
          <w:headerReference w:type="first" r:id="rId9"/>
          <w:pgSz w:w="11906" w:h="16838" w:code="9"/>
          <w:pgMar w:top="1440" w:right="1797" w:bottom="1440" w:left="1797" w:header="851" w:footer="624" w:gutter="0"/>
          <w:cols w:space="425"/>
          <w:docGrid w:type="linesAndChars" w:linePitch="360"/>
        </w:sectPr>
      </w:pPr>
    </w:p>
    <w:p w:rsidR="004B3764" w:rsidRPr="001922AC" w:rsidRDefault="004B3764" w:rsidP="001922AC">
      <w:pPr>
        <w:jc w:val="center"/>
        <w:rPr>
          <w:rFonts w:ascii="Times New Roman" w:eastAsia="標楷體" w:hAnsi="Times New Roman" w:cs="細明體"/>
          <w:b/>
          <w:color w:val="7030A0"/>
          <w:sz w:val="40"/>
        </w:rPr>
      </w:pPr>
      <w:r w:rsidRPr="001922AC">
        <w:rPr>
          <w:rFonts w:ascii="Times New Roman" w:eastAsia="標楷體" w:hAnsi="Times New Roman" w:cs="細明體" w:hint="eastAsia"/>
          <w:b/>
          <w:color w:val="7030A0"/>
          <w:sz w:val="40"/>
        </w:rPr>
        <w:lastRenderedPageBreak/>
        <w:t>摘要</w:t>
      </w:r>
    </w:p>
    <w:p w:rsidR="004B3764" w:rsidRPr="0045566E" w:rsidRDefault="004B3764" w:rsidP="001922AC">
      <w:pPr>
        <w:pStyle w:val="11"/>
      </w:pPr>
      <w:r w:rsidRPr="0045566E">
        <w:rPr>
          <w:rFonts w:hint="eastAsia"/>
        </w:rPr>
        <w:t>本研究之主要目的在於了解高職聽障生之學習策略現況，並且比較學生不同的年</w:t>
      </w:r>
      <w:r w:rsidRPr="0045566E">
        <w:rPr>
          <w:rFonts w:hint="eastAsia"/>
        </w:rPr>
        <w:t xml:space="preserve"> </w:t>
      </w:r>
      <w:r w:rsidRPr="0045566E">
        <w:rPr>
          <w:rFonts w:hint="eastAsia"/>
        </w:rPr>
        <w:t>級、性別、聽力程度、何時接受特殊教育訓練、父母聽力程度及科系別在學習策略上</w:t>
      </w:r>
      <w:r w:rsidRPr="0045566E">
        <w:rPr>
          <w:rFonts w:hint="eastAsia"/>
        </w:rPr>
        <w:t xml:space="preserve"> </w:t>
      </w:r>
      <w:r w:rsidRPr="0045566E">
        <w:rPr>
          <w:rFonts w:hint="eastAsia"/>
        </w:rPr>
        <w:t>的差異狀況，以及探討高職聽障生學習策略與學習成效之間的相關情形和預測作用；</w:t>
      </w:r>
      <w:r w:rsidRPr="0045566E">
        <w:rPr>
          <w:rFonts w:hint="eastAsia"/>
        </w:rPr>
        <w:t xml:space="preserve"> </w:t>
      </w:r>
      <w:r w:rsidRPr="0045566E">
        <w:rPr>
          <w:rFonts w:hint="eastAsia"/>
        </w:rPr>
        <w:t>並依據研究結論提出建議。</w:t>
      </w:r>
    </w:p>
    <w:p w:rsidR="004B3764" w:rsidRPr="0045566E" w:rsidRDefault="004B3764" w:rsidP="001922AC">
      <w:pPr>
        <w:pStyle w:val="11"/>
      </w:pPr>
      <w:r w:rsidRPr="0045566E">
        <w:rPr>
          <w:rFonts w:hint="eastAsia"/>
        </w:rPr>
        <w:t>本研究以台北市立啟聰學校學生</w:t>
      </w:r>
      <w:r w:rsidRPr="0045566E">
        <w:rPr>
          <w:rFonts w:hint="eastAsia"/>
        </w:rPr>
        <w:t>155</w:t>
      </w:r>
      <w:r w:rsidRPr="0045566E">
        <w:rPr>
          <w:rFonts w:hint="eastAsia"/>
        </w:rPr>
        <w:t>人為對象進行研究，研究工具為「</w:t>
      </w:r>
      <w:r w:rsidRPr="0045566E">
        <w:rPr>
          <w:rFonts w:hint="eastAsia"/>
        </w:rPr>
        <w:t>MSLQ</w:t>
      </w:r>
      <w:r w:rsidRPr="0045566E">
        <w:rPr>
          <w:rFonts w:hint="eastAsia"/>
        </w:rPr>
        <w:t>」，以描述統計、單因子變異數分析、皮爾</w:t>
      </w:r>
      <w:proofErr w:type="gramStart"/>
      <w:r w:rsidRPr="0045566E">
        <w:rPr>
          <w:rFonts w:hint="eastAsia"/>
        </w:rPr>
        <w:t>森積差</w:t>
      </w:r>
      <w:proofErr w:type="gramEnd"/>
      <w:r w:rsidRPr="0045566E">
        <w:rPr>
          <w:rFonts w:hint="eastAsia"/>
        </w:rPr>
        <w:t>相關、逐步多元</w:t>
      </w:r>
      <w:proofErr w:type="gramStart"/>
      <w:r w:rsidRPr="0045566E">
        <w:rPr>
          <w:rFonts w:hint="eastAsia"/>
        </w:rPr>
        <w:t>迴</w:t>
      </w:r>
      <w:proofErr w:type="gramEnd"/>
      <w:r w:rsidRPr="0045566E">
        <w:rPr>
          <w:rFonts w:hint="eastAsia"/>
        </w:rPr>
        <w:t>歸等方法進行統計分析。本研究結論如下：</w:t>
      </w:r>
    </w:p>
    <w:p w:rsidR="004B3764" w:rsidRPr="001922AC" w:rsidRDefault="004B3764" w:rsidP="001922AC">
      <w:pPr>
        <w:pStyle w:val="a"/>
        <w:spacing w:before="180" w:after="180"/>
      </w:pPr>
      <w:r w:rsidRPr="001922AC">
        <w:rPr>
          <w:rFonts w:hint="eastAsia"/>
        </w:rPr>
        <w:t>高職聽障生再學習策略使用情形的前三名為學習的自我效能、外在目標導向、工作價值。</w:t>
      </w:r>
    </w:p>
    <w:p w:rsidR="004B3764" w:rsidRPr="001922AC" w:rsidRDefault="004B3764" w:rsidP="001922AC">
      <w:pPr>
        <w:pStyle w:val="a"/>
        <w:spacing w:before="180" w:after="180"/>
      </w:pPr>
      <w:r w:rsidRPr="001922AC">
        <w:rPr>
          <w:rFonts w:hint="eastAsia"/>
        </w:rPr>
        <w:t>不同年級、性別的高職聽障生在學習策略使用上有顯著差異。</w:t>
      </w:r>
    </w:p>
    <w:p w:rsidR="004B3764" w:rsidRPr="001922AC" w:rsidRDefault="004B3764" w:rsidP="001922AC">
      <w:pPr>
        <w:pStyle w:val="a"/>
        <w:spacing w:before="180" w:after="180"/>
      </w:pPr>
      <w:r w:rsidRPr="001922AC">
        <w:rPr>
          <w:rFonts w:hint="eastAsia"/>
        </w:rPr>
        <w:t>學習策略與學習成效有顯著相關。</w:t>
      </w:r>
    </w:p>
    <w:p w:rsidR="004B3764" w:rsidRPr="001922AC" w:rsidRDefault="004B3764" w:rsidP="001922AC">
      <w:pPr>
        <w:pStyle w:val="a"/>
        <w:spacing w:before="180" w:after="180"/>
      </w:pPr>
      <w:r w:rsidRPr="001922AC">
        <w:rPr>
          <w:rFonts w:hint="eastAsia"/>
        </w:rPr>
        <w:t>不同年級、聽力程度、何時接受教育訓練高職聽障生在學習成效上有顯著差異。</w:t>
      </w:r>
    </w:p>
    <w:p w:rsidR="004B3764" w:rsidRPr="001922AC" w:rsidRDefault="004B3764" w:rsidP="001922AC">
      <w:pPr>
        <w:pStyle w:val="a"/>
        <w:spacing w:before="180" w:after="180"/>
      </w:pPr>
      <w:r w:rsidRPr="001922AC">
        <w:rPr>
          <w:rFonts w:hint="eastAsia"/>
        </w:rPr>
        <w:t>高職聽障生的學習策略對整體學習成效有顯著的預測力，並且以學習的控制信念</w:t>
      </w:r>
      <w:r w:rsidRPr="001922AC">
        <w:rPr>
          <w:rFonts w:hint="eastAsia"/>
        </w:rPr>
        <w:t>8.3%</w:t>
      </w:r>
      <w:r w:rsidRPr="001922AC">
        <w:rPr>
          <w:rFonts w:hint="eastAsia"/>
        </w:rPr>
        <w:t>為最高。</w:t>
      </w:r>
    </w:p>
    <w:p w:rsidR="004B3764" w:rsidRPr="00E649E1" w:rsidRDefault="004B3764" w:rsidP="0045566E">
      <w:pPr>
        <w:rPr>
          <w:rFonts w:ascii="Times New Roman" w:eastAsia="標楷體" w:hAnsi="Times New Roman" w:cs="細明體"/>
        </w:rPr>
      </w:pPr>
    </w:p>
    <w:p w:rsidR="004B3764" w:rsidRPr="00E649E1" w:rsidRDefault="004B3764" w:rsidP="00E649E1">
      <w:pPr>
        <w:spacing w:before="180" w:after="180"/>
        <w:jc w:val="both"/>
        <w:rPr>
          <w:rFonts w:ascii="標楷體" w:eastAsia="標楷體" w:hAnsi="Times New Roman" w:cs="細明體"/>
        </w:rPr>
      </w:pPr>
      <w:r w:rsidRPr="00E649E1">
        <w:rPr>
          <w:rFonts w:ascii="標楷體" w:eastAsia="標楷體" w:hAnsi="Times New Roman" w:cs="細明體" w:hint="eastAsia"/>
          <w:b/>
        </w:rPr>
        <w:t>關鍵字</w:t>
      </w:r>
      <w:r w:rsidRPr="00E649E1">
        <w:rPr>
          <w:rFonts w:ascii="標楷體" w:eastAsia="標楷體" w:hAnsi="Times New Roman" w:cs="細明體" w:hint="eastAsia"/>
        </w:rPr>
        <w:t>：聽覺障礙生、學習策略、學習成效</w:t>
      </w:r>
    </w:p>
    <w:p w:rsidR="004B3764" w:rsidRPr="00E649E1" w:rsidRDefault="004B3764" w:rsidP="00E649E1">
      <w:pPr>
        <w:jc w:val="center"/>
        <w:rPr>
          <w:rFonts w:ascii="Times New Roman" w:eastAsia="標楷體" w:hAnsi="Times New Roman" w:cs="細明體"/>
          <w:b/>
          <w:color w:val="002060"/>
          <w:sz w:val="40"/>
        </w:rPr>
      </w:pPr>
      <w:r w:rsidRPr="00E649E1">
        <w:rPr>
          <w:rFonts w:ascii="Times New Roman" w:eastAsia="標楷體" w:hAnsi="Times New Roman" w:cs="細明體" w:hint="eastAsia"/>
          <w:b/>
          <w:color w:val="002060"/>
          <w:sz w:val="40"/>
        </w:rPr>
        <w:t>目錄</w:t>
      </w:r>
    </w:p>
    <w:p w:rsidR="004B3764" w:rsidRPr="00E649E1" w:rsidRDefault="004B3764" w:rsidP="0045566E">
      <w:pPr>
        <w:rPr>
          <w:rFonts w:ascii="Times New Roman" w:eastAsia="標楷體" w:hAnsi="Times New Roman" w:cs="細明體"/>
        </w:rPr>
      </w:pPr>
    </w:p>
    <w:p w:rsidR="004B3764" w:rsidRPr="00E649E1" w:rsidRDefault="004B3764" w:rsidP="0045566E">
      <w:pPr>
        <w:rPr>
          <w:rFonts w:ascii="Times New Roman" w:eastAsia="標楷體" w:hAnsi="Times New Roman" w:cs="細明體"/>
        </w:rPr>
      </w:pPr>
    </w:p>
    <w:p w:rsidR="004B3764" w:rsidRPr="00E649E1" w:rsidRDefault="004B3764" w:rsidP="0045566E">
      <w:pPr>
        <w:rPr>
          <w:rFonts w:ascii="Times New Roman" w:eastAsia="標楷體" w:hAnsi="Times New Roman" w:cs="細明體"/>
        </w:rPr>
      </w:pPr>
    </w:p>
    <w:p w:rsidR="004B3764" w:rsidRPr="00E649E1" w:rsidRDefault="004B3764" w:rsidP="0045566E">
      <w:pPr>
        <w:rPr>
          <w:rFonts w:ascii="Times New Roman" w:eastAsia="標楷體" w:hAnsi="Times New Roman" w:cs="細明體"/>
        </w:rPr>
      </w:pPr>
    </w:p>
    <w:p w:rsidR="004B3764" w:rsidRPr="00E649E1" w:rsidRDefault="004B3764" w:rsidP="0045566E">
      <w:pPr>
        <w:rPr>
          <w:rFonts w:ascii="Times New Roman" w:eastAsia="標楷體" w:hAnsi="Times New Roman" w:cs="細明體"/>
        </w:rPr>
      </w:pPr>
    </w:p>
    <w:p w:rsidR="004B3764" w:rsidRPr="00E649E1" w:rsidRDefault="004B3764" w:rsidP="0045566E">
      <w:pPr>
        <w:rPr>
          <w:rFonts w:ascii="Times New Roman" w:eastAsia="標楷體" w:hAnsi="Times New Roman" w:cs="細明體"/>
        </w:rPr>
      </w:pPr>
    </w:p>
    <w:p w:rsidR="004B3764" w:rsidRPr="00E649E1" w:rsidRDefault="004B3764" w:rsidP="0045566E">
      <w:pPr>
        <w:rPr>
          <w:rFonts w:ascii="Times New Roman" w:eastAsia="標楷體" w:hAnsi="Times New Roman" w:cs="細明體"/>
        </w:rPr>
      </w:pPr>
    </w:p>
    <w:p w:rsidR="004B3764" w:rsidRPr="00E649E1" w:rsidRDefault="004B3764" w:rsidP="0045566E">
      <w:pPr>
        <w:rPr>
          <w:rFonts w:ascii="Times New Roman" w:eastAsia="標楷體" w:hAnsi="Times New Roman" w:cs="細明體"/>
        </w:rPr>
      </w:pPr>
    </w:p>
    <w:p w:rsidR="004B3764" w:rsidRPr="00E649E1" w:rsidRDefault="004B3764" w:rsidP="0045566E">
      <w:pPr>
        <w:rPr>
          <w:rFonts w:ascii="Times New Roman" w:eastAsia="標楷體" w:hAnsi="Times New Roman" w:cs="細明體"/>
        </w:rPr>
      </w:pPr>
    </w:p>
    <w:p w:rsidR="004B3764" w:rsidRPr="00E649E1" w:rsidRDefault="004B3764" w:rsidP="0045566E">
      <w:pPr>
        <w:rPr>
          <w:rFonts w:ascii="Times New Roman" w:eastAsia="標楷體" w:hAnsi="Times New Roman" w:cs="細明體"/>
        </w:rPr>
      </w:pPr>
    </w:p>
    <w:p w:rsidR="004B3764" w:rsidRPr="00E649E1" w:rsidRDefault="004B3764" w:rsidP="0045566E">
      <w:pPr>
        <w:rPr>
          <w:rFonts w:ascii="Times New Roman" w:eastAsia="標楷體" w:hAnsi="Times New Roman" w:cs="細明體"/>
        </w:rPr>
      </w:pPr>
    </w:p>
    <w:p w:rsidR="004B3764" w:rsidRPr="00E649E1" w:rsidRDefault="004B3764" w:rsidP="0045566E">
      <w:pPr>
        <w:rPr>
          <w:rFonts w:ascii="Times New Roman" w:eastAsia="標楷體" w:hAnsi="Times New Roman" w:cs="細明體"/>
        </w:rPr>
      </w:pPr>
    </w:p>
    <w:p w:rsidR="004B3764" w:rsidRPr="00E649E1" w:rsidRDefault="004B3764" w:rsidP="0045566E">
      <w:pPr>
        <w:rPr>
          <w:rFonts w:ascii="Times New Roman" w:eastAsia="標楷體" w:hAnsi="Times New Roman" w:cs="細明體"/>
        </w:rPr>
      </w:pPr>
    </w:p>
    <w:p w:rsidR="004B3764" w:rsidRPr="00E649E1" w:rsidRDefault="004B3764" w:rsidP="0045566E">
      <w:pPr>
        <w:rPr>
          <w:rFonts w:ascii="Times New Roman" w:eastAsia="標楷體" w:hAnsi="Times New Roman" w:cs="細明體"/>
        </w:rPr>
      </w:pPr>
    </w:p>
    <w:p w:rsidR="004B3764" w:rsidRPr="00E649E1" w:rsidRDefault="004B3764" w:rsidP="0045566E">
      <w:pPr>
        <w:rPr>
          <w:rFonts w:ascii="Times New Roman" w:eastAsia="標楷體" w:hAnsi="Times New Roman" w:cs="細明體"/>
        </w:rPr>
      </w:pPr>
    </w:p>
    <w:p w:rsidR="004B3764" w:rsidRPr="00E649E1" w:rsidRDefault="004B3764" w:rsidP="0045566E">
      <w:pPr>
        <w:rPr>
          <w:rFonts w:ascii="Times New Roman" w:eastAsia="標楷體" w:hAnsi="Times New Roman" w:cs="細明體"/>
        </w:rPr>
      </w:pPr>
    </w:p>
    <w:p w:rsidR="004B3764" w:rsidRPr="00E649E1" w:rsidRDefault="004B3764" w:rsidP="0045566E">
      <w:pPr>
        <w:rPr>
          <w:rFonts w:ascii="Times New Roman" w:eastAsia="標楷體" w:hAnsi="Times New Roman" w:cs="細明體"/>
        </w:rPr>
      </w:pPr>
    </w:p>
    <w:p w:rsidR="004B3764" w:rsidRPr="00E649E1" w:rsidRDefault="004B3764" w:rsidP="0045566E">
      <w:pPr>
        <w:rPr>
          <w:rFonts w:ascii="Times New Roman" w:eastAsia="標楷體" w:hAnsi="Times New Roman" w:cs="細明體"/>
        </w:rPr>
      </w:pPr>
    </w:p>
    <w:p w:rsidR="004B3764" w:rsidRPr="00E649E1" w:rsidRDefault="004B3764" w:rsidP="0045566E">
      <w:pPr>
        <w:rPr>
          <w:rFonts w:ascii="Times New Roman" w:eastAsia="標楷體" w:hAnsi="Times New Roman" w:cs="細明體"/>
        </w:rPr>
      </w:pPr>
    </w:p>
    <w:p w:rsidR="004B3764" w:rsidRPr="00E649E1" w:rsidRDefault="004B3764" w:rsidP="0045566E">
      <w:pPr>
        <w:rPr>
          <w:rFonts w:ascii="Times New Roman" w:eastAsia="標楷體" w:hAnsi="Times New Roman" w:cs="細明體"/>
        </w:rPr>
      </w:pPr>
    </w:p>
    <w:p w:rsidR="004B3764" w:rsidRPr="00E649E1" w:rsidRDefault="004B3764" w:rsidP="00E649E1">
      <w:pPr>
        <w:jc w:val="center"/>
        <w:rPr>
          <w:rFonts w:ascii="Times New Roman" w:eastAsia="標楷體" w:hAnsi="Times New Roman" w:cs="細明體"/>
          <w:b/>
          <w:color w:val="002060"/>
          <w:sz w:val="40"/>
        </w:rPr>
      </w:pPr>
      <w:r w:rsidRPr="00E649E1">
        <w:rPr>
          <w:rFonts w:ascii="Times New Roman" w:eastAsia="標楷體" w:hAnsi="Times New Roman" w:cs="細明體" w:hint="eastAsia"/>
          <w:b/>
          <w:color w:val="002060"/>
          <w:sz w:val="40"/>
        </w:rPr>
        <w:t>表目錄</w:t>
      </w:r>
    </w:p>
    <w:p w:rsidR="004B3764" w:rsidRPr="00E649E1" w:rsidRDefault="004B3764" w:rsidP="0045566E">
      <w:pPr>
        <w:rPr>
          <w:rFonts w:ascii="Times New Roman" w:eastAsia="標楷體" w:hAnsi="Times New Roman" w:cs="細明體"/>
          <w:color w:val="002060"/>
        </w:rPr>
      </w:pPr>
    </w:p>
    <w:p w:rsidR="004B3764" w:rsidRPr="00E649E1" w:rsidRDefault="004B3764" w:rsidP="0045566E">
      <w:pPr>
        <w:rPr>
          <w:rFonts w:ascii="Times New Roman" w:eastAsia="標楷體" w:hAnsi="Times New Roman" w:cs="細明體"/>
          <w:color w:val="002060"/>
        </w:rPr>
      </w:pPr>
    </w:p>
    <w:p w:rsidR="004B3764" w:rsidRPr="00E649E1" w:rsidRDefault="004B3764" w:rsidP="0045566E">
      <w:pPr>
        <w:rPr>
          <w:rFonts w:ascii="Times New Roman" w:eastAsia="標楷體" w:hAnsi="Times New Roman" w:cs="細明體"/>
          <w:color w:val="002060"/>
        </w:rPr>
      </w:pPr>
    </w:p>
    <w:p w:rsidR="004B3764" w:rsidRPr="00E649E1" w:rsidRDefault="004B3764" w:rsidP="00E649E1">
      <w:pPr>
        <w:jc w:val="center"/>
        <w:rPr>
          <w:rFonts w:ascii="Times New Roman" w:eastAsia="標楷體" w:hAnsi="Times New Roman" w:cs="細明體"/>
          <w:b/>
          <w:color w:val="002060"/>
          <w:sz w:val="40"/>
        </w:rPr>
      </w:pPr>
      <w:r w:rsidRPr="00E649E1">
        <w:rPr>
          <w:rFonts w:ascii="Times New Roman" w:eastAsia="標楷體" w:hAnsi="Times New Roman" w:cs="細明體" w:hint="eastAsia"/>
          <w:b/>
          <w:color w:val="002060"/>
          <w:sz w:val="40"/>
        </w:rPr>
        <w:t>圖目錄</w:t>
      </w:r>
    </w:p>
    <w:p w:rsidR="004B3764" w:rsidRPr="00E649E1" w:rsidRDefault="004B3764" w:rsidP="0045566E">
      <w:pPr>
        <w:rPr>
          <w:rFonts w:ascii="Times New Roman" w:eastAsia="標楷體" w:hAnsi="Times New Roman" w:cs="細明體"/>
          <w:color w:val="002060"/>
        </w:rPr>
      </w:pPr>
    </w:p>
    <w:p w:rsidR="004B3764" w:rsidRPr="00E649E1" w:rsidRDefault="004B3764" w:rsidP="0045566E">
      <w:pPr>
        <w:rPr>
          <w:rFonts w:ascii="Times New Roman" w:eastAsia="標楷體" w:hAnsi="Times New Roman" w:cs="細明體"/>
          <w:color w:val="002060"/>
        </w:rPr>
      </w:pPr>
    </w:p>
    <w:p w:rsidR="00E649E1" w:rsidRDefault="00E649E1" w:rsidP="0045566E">
      <w:pPr>
        <w:rPr>
          <w:rFonts w:ascii="Times New Roman" w:eastAsia="標楷體" w:hAnsi="Times New Roman" w:cs="細明體"/>
          <w:color w:val="FF0000"/>
        </w:rPr>
        <w:sectPr w:rsidR="00E649E1" w:rsidSect="007B4858">
          <w:pgSz w:w="11906" w:h="16838" w:code="9"/>
          <w:pgMar w:top="1440" w:right="1797" w:bottom="1440" w:left="1797" w:header="851" w:footer="624" w:gutter="0"/>
          <w:cols w:space="425"/>
          <w:docGrid w:type="linesAndChars" w:linePitch="360"/>
        </w:sectPr>
      </w:pPr>
    </w:p>
    <w:p w:rsidR="004B3764" w:rsidRPr="00E649E1" w:rsidRDefault="004B3764" w:rsidP="0045566E">
      <w:pPr>
        <w:rPr>
          <w:rFonts w:ascii="Times New Roman" w:eastAsia="標楷體" w:hAnsi="Times New Roman" w:cs="細明體"/>
          <w:color w:val="FF0000"/>
        </w:rPr>
      </w:pPr>
      <w:r w:rsidRPr="00E649E1">
        <w:rPr>
          <w:rFonts w:ascii="Times New Roman" w:eastAsia="標楷體" w:hAnsi="Times New Roman" w:cs="細明體" w:hint="eastAsia"/>
          <w:color w:val="FF0000"/>
        </w:rPr>
        <w:lastRenderedPageBreak/>
        <w:t>緒論</w:t>
      </w:r>
    </w:p>
    <w:p w:rsidR="004B3764" w:rsidRPr="00264083" w:rsidRDefault="004B3764" w:rsidP="0045566E">
      <w:pPr>
        <w:rPr>
          <w:rFonts w:ascii="Times New Roman" w:eastAsia="標楷體" w:hAnsi="Times New Roman" w:cs="細明體"/>
          <w:color w:val="FFC000"/>
        </w:rPr>
      </w:pPr>
      <w:r w:rsidRPr="00264083">
        <w:rPr>
          <w:rFonts w:ascii="Times New Roman" w:eastAsia="標楷體" w:hAnsi="Times New Roman" w:cs="細明體" w:hint="eastAsia"/>
          <w:color w:val="FFC000"/>
        </w:rPr>
        <w:t>研究背景與動機</w:t>
      </w:r>
    </w:p>
    <w:p w:rsidR="004B3764" w:rsidRPr="00E649E1" w:rsidRDefault="004B3764" w:rsidP="00264083">
      <w:pPr>
        <w:pStyle w:val="21"/>
      </w:pPr>
      <w:r w:rsidRPr="00E649E1">
        <w:rPr>
          <w:rFonts w:hint="eastAsia"/>
        </w:rPr>
        <w:t>高職教育階段，多年以「培養基層技術人才」為主要目標，因為時代變遷而有些不一樣，不只提供了學生另外一種升學管道，更進一步的協助學生如何去讀書、學習。然而以往對於學習知能、成效落後學生的協助較為忽視，隨著教育尊重「個別差異」而有所改變。然而依據王振德</w:t>
      </w:r>
      <w:r w:rsidRPr="00E649E1">
        <w:rPr>
          <w:rFonts w:hint="eastAsia"/>
        </w:rPr>
        <w:t>(1996)</w:t>
      </w:r>
      <w:r w:rsidRPr="00E649E1">
        <w:rPr>
          <w:rFonts w:hint="eastAsia"/>
        </w:rPr>
        <w:t>、</w:t>
      </w:r>
      <w:r w:rsidRPr="00264083">
        <w:rPr>
          <w:rFonts w:hint="eastAsia"/>
          <w:color w:val="0070C0"/>
        </w:rPr>
        <w:t>吳靜吉、程炳林</w:t>
      </w:r>
      <w:r w:rsidRPr="00264083">
        <w:rPr>
          <w:rFonts w:hint="eastAsia"/>
          <w:color w:val="0070C0"/>
        </w:rPr>
        <w:t>(1993)</w:t>
      </w:r>
      <w:r w:rsidRPr="00E649E1">
        <w:rPr>
          <w:rFonts w:hint="eastAsia"/>
        </w:rPr>
        <w:t>提出，形成學習成效低落的最大原因是：學習方法、策略使用情形普遍表現不佳所造成的。然而台灣省政府教育廳</w:t>
      </w:r>
      <w:r w:rsidRPr="00E649E1">
        <w:rPr>
          <w:rFonts w:hint="eastAsia"/>
        </w:rPr>
        <w:t>(1997)</w:t>
      </w:r>
      <w:r w:rsidRPr="00E649E1">
        <w:rPr>
          <w:rFonts w:hint="eastAsia"/>
        </w:rPr>
        <w:t>提出，聽覺障礙學生</w:t>
      </w:r>
      <w:r w:rsidRPr="00E649E1">
        <w:rPr>
          <w:rFonts w:hint="eastAsia"/>
        </w:rPr>
        <w:t>(</w:t>
      </w:r>
      <w:r w:rsidRPr="00E649E1">
        <w:rPr>
          <w:rFonts w:hint="eastAsia"/>
        </w:rPr>
        <w:t>以下簡稱聽障生</w:t>
      </w:r>
      <w:r w:rsidRPr="00E649E1">
        <w:rPr>
          <w:rFonts w:hint="eastAsia"/>
        </w:rPr>
        <w:t>)</w:t>
      </w:r>
      <w:r w:rsidRPr="00E649E1">
        <w:rPr>
          <w:rFonts w:hint="eastAsia"/>
        </w:rPr>
        <w:t>在學習過程中，會造成知識的獲得、語言的發展、抽象思考能力的發展容易形成障礙，導致學校及生活上適應上的困難，此種造成學習成效低落的現象，是否也會發生，甚至更加明顯發生在聽障生身上，這是值得探討研究的。</w:t>
      </w:r>
    </w:p>
    <w:p w:rsidR="004B3764" w:rsidRPr="00E649E1" w:rsidRDefault="004B3764" w:rsidP="00264083">
      <w:pPr>
        <w:pStyle w:val="21"/>
      </w:pPr>
      <w:r w:rsidRPr="00E649E1">
        <w:rPr>
          <w:rFonts w:hint="eastAsia"/>
        </w:rPr>
        <w:t>楊國樞、文崇一、吳聰賢、李亦園</w:t>
      </w:r>
      <w:r w:rsidRPr="00E649E1">
        <w:rPr>
          <w:rFonts w:hint="eastAsia"/>
        </w:rPr>
        <w:t>(1989)</w:t>
      </w:r>
      <w:r w:rsidRPr="00E649E1">
        <w:rPr>
          <w:rFonts w:hint="eastAsia"/>
        </w:rPr>
        <w:t>指出，學習策略是經後天逐漸塑造而成的，具有相當程度的可塑性。因此，教師若能了解學生問題的癥結，分析其失敗的因素，同時也協助學生找出最適合其發展的學習管道，及運用適當的教學法來發揮學生之優點，補救其缺點，則學業成效低落的</w:t>
      </w:r>
      <w:proofErr w:type="gramStart"/>
      <w:r w:rsidRPr="00E649E1">
        <w:rPr>
          <w:rFonts w:hint="eastAsia"/>
        </w:rPr>
        <w:t>學生將乃有</w:t>
      </w:r>
      <w:proofErr w:type="gramEnd"/>
      <w:r w:rsidRPr="00E649E1">
        <w:rPr>
          <w:rFonts w:hint="eastAsia"/>
        </w:rPr>
        <w:t>成功的可能。</w:t>
      </w:r>
    </w:p>
    <w:p w:rsidR="004B3764" w:rsidRPr="00264083" w:rsidRDefault="004B3764" w:rsidP="0045566E">
      <w:pPr>
        <w:rPr>
          <w:rFonts w:ascii="Times New Roman" w:eastAsia="標楷體" w:hAnsi="Times New Roman" w:cs="細明體"/>
          <w:color w:val="FFC000"/>
        </w:rPr>
      </w:pPr>
      <w:r w:rsidRPr="00264083">
        <w:rPr>
          <w:rFonts w:ascii="Times New Roman" w:eastAsia="標楷體" w:hAnsi="Times New Roman" w:cs="細明體" w:hint="eastAsia"/>
          <w:color w:val="FFC000"/>
        </w:rPr>
        <w:t>研究目的</w:t>
      </w:r>
    </w:p>
    <w:p w:rsidR="004B3764" w:rsidRPr="00E649E1" w:rsidRDefault="004B3764" w:rsidP="00264083">
      <w:pPr>
        <w:pStyle w:val="21"/>
      </w:pPr>
      <w:r w:rsidRPr="00E649E1">
        <w:rPr>
          <w:rFonts w:hint="eastAsia"/>
        </w:rPr>
        <w:t>基於以上動機的考量，本研究目的在探討高職聽障生目前運用學習策略的情形，不同背景高職聽障生與學習策略的關係、不同背景高職聽障生與學習</w:t>
      </w:r>
      <w:proofErr w:type="gramStart"/>
      <w:r w:rsidRPr="00E649E1">
        <w:rPr>
          <w:rFonts w:hint="eastAsia"/>
        </w:rPr>
        <w:t>成效間的關係</w:t>
      </w:r>
      <w:proofErr w:type="gramEnd"/>
      <w:r w:rsidRPr="00E649E1">
        <w:rPr>
          <w:rFonts w:hint="eastAsia"/>
        </w:rPr>
        <w:t>，以及學習策略與學業</w:t>
      </w:r>
      <w:proofErr w:type="gramStart"/>
      <w:r w:rsidRPr="00E649E1">
        <w:rPr>
          <w:rFonts w:hint="eastAsia"/>
        </w:rPr>
        <w:t>成效間的關係</w:t>
      </w:r>
      <w:proofErr w:type="gramEnd"/>
      <w:r w:rsidRPr="00E649E1">
        <w:rPr>
          <w:rFonts w:hint="eastAsia"/>
        </w:rPr>
        <w:t>。因此本研究提出以下主要方法目的：</w:t>
      </w:r>
    </w:p>
    <w:p w:rsidR="004B3764" w:rsidRPr="00E649E1" w:rsidRDefault="004B3764" w:rsidP="007A4AA1">
      <w:pPr>
        <w:pStyle w:val="a"/>
        <w:numPr>
          <w:ilvl w:val="0"/>
          <w:numId w:val="8"/>
        </w:numPr>
        <w:spacing w:before="180" w:after="180"/>
      </w:pPr>
      <w:r w:rsidRPr="00E649E1">
        <w:rPr>
          <w:rFonts w:hint="eastAsia"/>
        </w:rPr>
        <w:t>了解高職聽障生目前運用學習策略之情況。</w:t>
      </w:r>
    </w:p>
    <w:p w:rsidR="004B3764" w:rsidRPr="00E649E1" w:rsidRDefault="004B3764" w:rsidP="007A4AA1">
      <w:pPr>
        <w:pStyle w:val="a"/>
        <w:spacing w:before="180" w:after="180"/>
      </w:pPr>
      <w:r w:rsidRPr="00E649E1">
        <w:rPr>
          <w:rFonts w:hint="eastAsia"/>
        </w:rPr>
        <w:t>探討不同背景高職聽障生與學習策略是否有差異的情形。</w:t>
      </w:r>
    </w:p>
    <w:p w:rsidR="004B3764" w:rsidRPr="00E649E1" w:rsidRDefault="004B3764" w:rsidP="007A4AA1">
      <w:pPr>
        <w:pStyle w:val="a"/>
        <w:spacing w:before="180" w:after="180"/>
      </w:pPr>
      <w:r w:rsidRPr="00E649E1">
        <w:rPr>
          <w:rFonts w:hint="eastAsia"/>
        </w:rPr>
        <w:t>探討不同背景高職聽障生與學習成效是否有差異的情形。</w:t>
      </w:r>
    </w:p>
    <w:p w:rsidR="004B3764" w:rsidRPr="00E649E1" w:rsidRDefault="004B3764" w:rsidP="007A4AA1">
      <w:pPr>
        <w:pStyle w:val="a"/>
        <w:spacing w:before="180" w:after="180"/>
      </w:pPr>
      <w:r w:rsidRPr="00E649E1">
        <w:rPr>
          <w:rFonts w:hint="eastAsia"/>
        </w:rPr>
        <w:t>探討高職聽障生是否在學習策略與學業成效是否具有相關性。</w:t>
      </w:r>
      <w:r w:rsidRPr="00E649E1">
        <w:rPr>
          <w:rFonts w:hint="eastAsia"/>
        </w:rPr>
        <w:t>(</w:t>
      </w:r>
      <w:r w:rsidRPr="00E649E1">
        <w:rPr>
          <w:rFonts w:hint="eastAsia"/>
        </w:rPr>
        <w:t>在此問題成立下，提出研究目的五</w:t>
      </w:r>
      <w:r w:rsidRPr="00E649E1">
        <w:rPr>
          <w:rFonts w:hint="eastAsia"/>
        </w:rPr>
        <w:t>)</w:t>
      </w:r>
    </w:p>
    <w:p w:rsidR="004B3764" w:rsidRPr="00E649E1" w:rsidRDefault="004B3764" w:rsidP="007A4AA1">
      <w:pPr>
        <w:pStyle w:val="a"/>
        <w:spacing w:before="180" w:after="180"/>
      </w:pPr>
      <w:r w:rsidRPr="00E649E1">
        <w:rPr>
          <w:rFonts w:hint="eastAsia"/>
        </w:rPr>
        <w:lastRenderedPageBreak/>
        <w:t>探討學習策略對學習成效是否有顯著的預測性</w:t>
      </w:r>
    </w:p>
    <w:p w:rsidR="004B3764" w:rsidRPr="007A4AA1" w:rsidRDefault="004B3764" w:rsidP="0045566E">
      <w:pPr>
        <w:rPr>
          <w:rFonts w:ascii="Times New Roman" w:eastAsia="標楷體" w:hAnsi="Times New Roman" w:cs="細明體"/>
          <w:color w:val="FFC000"/>
        </w:rPr>
      </w:pPr>
      <w:r w:rsidRPr="007A4AA1">
        <w:rPr>
          <w:rFonts w:ascii="Times New Roman" w:eastAsia="標楷體" w:hAnsi="Times New Roman" w:cs="細明體" w:hint="eastAsia"/>
          <w:color w:val="FFC000"/>
        </w:rPr>
        <w:t>研究流程</w:t>
      </w:r>
    </w:p>
    <w:p w:rsidR="004B3764" w:rsidRPr="00E649E1" w:rsidRDefault="004B3764" w:rsidP="007A4AA1">
      <w:pPr>
        <w:pStyle w:val="11"/>
      </w:pPr>
      <w:r w:rsidRPr="00E649E1">
        <w:rPr>
          <w:rFonts w:hint="eastAsia"/>
        </w:rPr>
        <w:t>本研究之整體步驟與流程如下圖所示：</w:t>
      </w:r>
      <w:r w:rsidRPr="00E649E1">
        <w:rPr>
          <w:rFonts w:hint="eastAsia"/>
        </w:rPr>
        <w:t xml:space="preserve"> </w:t>
      </w:r>
    </w:p>
    <w:p w:rsidR="004B3764" w:rsidRPr="00E649E1" w:rsidRDefault="007A4AA1" w:rsidP="0045566E">
      <w:pPr>
        <w:rPr>
          <w:rFonts w:ascii="Times New Roman" w:eastAsia="標楷體" w:hAnsi="Times New Roman" w:cs="細明體"/>
        </w:rPr>
      </w:pPr>
      <w:r w:rsidRPr="00532077">
        <w:rPr>
          <w:rFonts w:ascii="Times New Roman" w:eastAsia="細明體" w:hAnsi="Times New Roman" w:cs="Times New Roman"/>
          <w:noProof/>
        </w:rPr>
        <mc:AlternateContent>
          <mc:Choice Requires="wpc">
            <w:drawing>
              <wp:inline distT="0" distB="0" distL="0" distR="0" wp14:anchorId="17E6DC34" wp14:editId="0E9A6905">
                <wp:extent cx="5122800" cy="1782000"/>
                <wp:effectExtent l="0" t="0" r="0" b="85090"/>
                <wp:docPr id="4" name="畫布 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9" name="文字方塊 1"/>
                        <wps:cNvSpPr txBox="1"/>
                        <wps:spPr>
                          <a:xfrm>
                            <a:off x="0" y="0"/>
                            <a:ext cx="1489431" cy="426535"/>
                          </a:xfrm>
                          <a:prstGeom prst="rect">
                            <a:avLst/>
                          </a:prstGeom>
                          <a:solidFill>
                            <a:schemeClr val="lt1"/>
                          </a:solidFill>
                          <a:ln w="9525">
                            <a:solidFill>
                              <a:srgbClr val="000000"/>
                            </a:solidFill>
                          </a:ln>
                        </wps:spPr>
                        <wps:txbx>
                          <w:txbxContent>
                            <w:p w:rsidR="007A4AA1" w:rsidRPr="006863C2" w:rsidRDefault="007A4AA1" w:rsidP="007A4AA1">
                              <w:pPr>
                                <w:spacing w:before="180" w:after="180"/>
                                <w:jc w:val="center"/>
                                <w:rPr>
                                  <w:rFonts w:ascii="Times New Roman" w:eastAsia="標楷體" w:hAnsi="Times New Roman"/>
                                  <w:sz w:val="22"/>
                                </w:rPr>
                              </w:pPr>
                              <w:r w:rsidRPr="006863C2">
                                <w:rPr>
                                  <w:rFonts w:ascii="Times New Roman" w:eastAsia="標楷體" w:hAnsi="Times New Roman" w:hint="eastAsia"/>
                                  <w:sz w:val="22"/>
                                </w:rPr>
                                <w:t>研究主題確認</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0" name="文字方塊 2"/>
                        <wps:cNvSpPr txBox="1"/>
                        <wps:spPr>
                          <a:xfrm>
                            <a:off x="0" y="640112"/>
                            <a:ext cx="1489431" cy="426535"/>
                          </a:xfrm>
                          <a:prstGeom prst="rect">
                            <a:avLst/>
                          </a:prstGeom>
                          <a:solidFill>
                            <a:schemeClr val="lt1"/>
                          </a:solidFill>
                          <a:ln w="9525">
                            <a:solidFill>
                              <a:prstClr val="black"/>
                            </a:solidFill>
                          </a:ln>
                        </wps:spPr>
                        <wps:txbx>
                          <w:txbxContent>
                            <w:p w:rsidR="007A4AA1" w:rsidRPr="00B2021A" w:rsidRDefault="007A4AA1" w:rsidP="007A4AA1">
                              <w:pPr>
                                <w:spacing w:before="180" w:after="180"/>
                                <w:jc w:val="center"/>
                                <w:rPr>
                                  <w:rFonts w:ascii="Times New Roman" w:eastAsia="標楷體" w:hAnsi="Times New Roman"/>
                                  <w:sz w:val="22"/>
                                </w:rPr>
                              </w:pPr>
                              <w:r>
                                <w:rPr>
                                  <w:rFonts w:ascii="Times New Roman" w:eastAsia="標楷體" w:hAnsi="Times New Roman" w:hint="eastAsia"/>
                                  <w:sz w:val="22"/>
                                </w:rPr>
                                <w:t>文獻收集與探討</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2" name="文字方塊 3"/>
                        <wps:cNvSpPr txBox="1"/>
                        <wps:spPr>
                          <a:xfrm>
                            <a:off x="9" y="1276584"/>
                            <a:ext cx="1489431" cy="426535"/>
                          </a:xfrm>
                          <a:prstGeom prst="rect">
                            <a:avLst/>
                          </a:prstGeom>
                          <a:solidFill>
                            <a:schemeClr val="lt1"/>
                          </a:solidFill>
                          <a:ln w="9525">
                            <a:solidFill>
                              <a:prstClr val="black"/>
                            </a:solidFill>
                          </a:ln>
                        </wps:spPr>
                        <wps:txbx>
                          <w:txbxContent>
                            <w:p w:rsidR="007A4AA1" w:rsidRDefault="007A4AA1" w:rsidP="007A4AA1">
                              <w:pPr>
                                <w:pStyle w:val="Web"/>
                                <w:spacing w:before="180" w:beforeAutospacing="0" w:after="180" w:afterAutospacing="0"/>
                                <w:jc w:val="center"/>
                              </w:pPr>
                              <w:r>
                                <w:rPr>
                                  <w:rFonts w:ascii="Times New Roman" w:eastAsia="標楷體" w:hAnsi="標楷體" w:cs="Times New Roman" w:hint="eastAsia"/>
                                  <w:kern w:val="2"/>
                                  <w:sz w:val="22"/>
                                  <w:szCs w:val="22"/>
                                </w:rPr>
                                <w:t>研究架構確認</w:t>
                              </w:r>
                            </w:p>
                          </w:txbxContent>
                        </wps:txbx>
                        <wps:bodyPr rot="0" spcFirstLastPara="0" vert="horz" wrap="square" lIns="0" tIns="0" rIns="0" bIns="0" numCol="1" spcCol="0" rtlCol="0" fromWordArt="0" anchor="t" anchorCtr="0" forceAA="0" compatLnSpc="1">
                          <a:prstTxWarp prst="textNoShape">
                            <a:avLst/>
                          </a:prstTxWarp>
                          <a:noAutofit/>
                        </wps:bodyPr>
                      </wps:wsp>
                      <wps:wsp>
                        <wps:cNvPr id="13" name="文字方塊 4"/>
                        <wps:cNvSpPr txBox="1"/>
                        <wps:spPr>
                          <a:xfrm>
                            <a:off x="1916090" y="0"/>
                            <a:ext cx="1066336" cy="426535"/>
                          </a:xfrm>
                          <a:prstGeom prst="rect">
                            <a:avLst/>
                          </a:prstGeom>
                          <a:solidFill>
                            <a:schemeClr val="lt1"/>
                          </a:solidFill>
                          <a:ln w="9525">
                            <a:solidFill>
                              <a:srgbClr val="000000"/>
                            </a:solidFill>
                          </a:ln>
                        </wps:spPr>
                        <wps:txbx>
                          <w:txbxContent>
                            <w:p w:rsidR="007A4AA1" w:rsidRDefault="007A4AA1" w:rsidP="007A4AA1">
                              <w:pPr>
                                <w:pStyle w:val="Web"/>
                                <w:spacing w:before="180" w:beforeAutospacing="0" w:after="180" w:afterAutospacing="0"/>
                                <w:jc w:val="center"/>
                              </w:pPr>
                              <w:r>
                                <w:rPr>
                                  <w:rFonts w:ascii="Times New Roman" w:eastAsia="標楷體" w:hAnsi="標楷體" w:cs="Times New Roman" w:hint="eastAsia"/>
                                  <w:kern w:val="2"/>
                                  <w:sz w:val="22"/>
                                  <w:szCs w:val="22"/>
                                </w:rPr>
                                <w:t>研究擬定</w:t>
                              </w:r>
                            </w:p>
                          </w:txbxContent>
                        </wps:txbx>
                        <wps:bodyPr rot="0" spcFirstLastPara="0" vert="horz" wrap="square" lIns="0" tIns="0" rIns="0" bIns="0" numCol="1" spcCol="0" rtlCol="0" fromWordArt="0" anchor="t" anchorCtr="0" forceAA="0" compatLnSpc="1">
                          <a:prstTxWarp prst="textNoShape">
                            <a:avLst/>
                          </a:prstTxWarp>
                          <a:noAutofit/>
                        </wps:bodyPr>
                      </wps:wsp>
                      <wps:wsp>
                        <wps:cNvPr id="14" name="文字方塊 5"/>
                        <wps:cNvSpPr txBox="1"/>
                        <wps:spPr>
                          <a:xfrm>
                            <a:off x="1916293" y="640112"/>
                            <a:ext cx="1066336" cy="426535"/>
                          </a:xfrm>
                          <a:prstGeom prst="rect">
                            <a:avLst/>
                          </a:prstGeom>
                          <a:solidFill>
                            <a:schemeClr val="lt1"/>
                          </a:solidFill>
                          <a:ln w="9525">
                            <a:solidFill>
                              <a:srgbClr val="000000"/>
                            </a:solidFill>
                          </a:ln>
                        </wps:spPr>
                        <wps:txbx>
                          <w:txbxContent>
                            <w:p w:rsidR="007A4AA1" w:rsidRDefault="007A4AA1" w:rsidP="007A4AA1">
                              <w:pPr>
                                <w:pStyle w:val="Web"/>
                                <w:spacing w:before="180" w:beforeAutospacing="0" w:after="180" w:afterAutospacing="0"/>
                                <w:jc w:val="center"/>
                              </w:pPr>
                              <w:proofErr w:type="gramStart"/>
                              <w:r>
                                <w:rPr>
                                  <w:rFonts w:ascii="Times New Roman" w:eastAsia="標楷體" w:hAnsi="標楷體" w:cs="Times New Roman" w:hint="eastAsia"/>
                                  <w:sz w:val="22"/>
                                  <w:szCs w:val="22"/>
                                </w:rPr>
                                <w:t>前測修正</w:t>
                              </w:r>
                              <w:proofErr w:type="gramEnd"/>
                            </w:p>
                          </w:txbxContent>
                        </wps:txbx>
                        <wps:bodyPr rot="0" spcFirstLastPara="0" vert="horz" wrap="square" lIns="0" tIns="0" rIns="0" bIns="0" numCol="1" spcCol="0" rtlCol="0" fromWordArt="0" anchor="t" anchorCtr="0" forceAA="0" compatLnSpc="1">
                          <a:prstTxWarp prst="textNoShape">
                            <a:avLst/>
                          </a:prstTxWarp>
                          <a:noAutofit/>
                        </wps:bodyPr>
                      </wps:wsp>
                      <wps:wsp>
                        <wps:cNvPr id="15" name="文字方塊 6"/>
                        <wps:cNvSpPr txBox="1"/>
                        <wps:spPr>
                          <a:xfrm>
                            <a:off x="1916293" y="1276584"/>
                            <a:ext cx="1066336" cy="426535"/>
                          </a:xfrm>
                          <a:prstGeom prst="rect">
                            <a:avLst/>
                          </a:prstGeom>
                          <a:solidFill>
                            <a:schemeClr val="lt1"/>
                          </a:solidFill>
                          <a:ln w="9525">
                            <a:solidFill>
                              <a:srgbClr val="000000"/>
                            </a:solidFill>
                          </a:ln>
                        </wps:spPr>
                        <wps:txbx>
                          <w:txbxContent>
                            <w:p w:rsidR="007A4AA1" w:rsidRDefault="007A4AA1" w:rsidP="007A4AA1">
                              <w:pPr>
                                <w:pStyle w:val="Web"/>
                                <w:spacing w:before="180" w:beforeAutospacing="0" w:after="180" w:afterAutospacing="0"/>
                                <w:jc w:val="center"/>
                              </w:pPr>
                              <w:proofErr w:type="gramStart"/>
                              <w:r>
                                <w:rPr>
                                  <w:rFonts w:ascii="Times New Roman" w:eastAsia="標楷體" w:hAnsi="標楷體" w:cs="Times New Roman" w:hint="eastAsia"/>
                                  <w:sz w:val="22"/>
                                  <w:szCs w:val="22"/>
                                </w:rPr>
                                <w:t>信效度</w:t>
                              </w:r>
                              <w:proofErr w:type="gramEnd"/>
                              <w:r>
                                <w:rPr>
                                  <w:rFonts w:ascii="Times New Roman" w:eastAsia="標楷體" w:hAnsi="標楷體" w:cs="Times New Roman"/>
                                  <w:sz w:val="22"/>
                                  <w:szCs w:val="22"/>
                                </w:rPr>
                                <w:t>考驗</w:t>
                              </w:r>
                            </w:p>
                          </w:txbxContent>
                        </wps:txbx>
                        <wps:bodyPr rot="0" spcFirstLastPara="0" vert="horz" wrap="square" lIns="0" tIns="0" rIns="0" bIns="0" numCol="1" spcCol="0" rtlCol="0" fromWordArt="0" anchor="t" anchorCtr="0" forceAA="0" compatLnSpc="1">
                          <a:prstTxWarp prst="textNoShape">
                            <a:avLst/>
                          </a:prstTxWarp>
                          <a:noAutofit/>
                        </wps:bodyPr>
                      </wps:wsp>
                      <wps:wsp>
                        <wps:cNvPr id="16" name="文字方塊 7"/>
                        <wps:cNvSpPr txBox="1"/>
                        <wps:spPr>
                          <a:xfrm>
                            <a:off x="3405153" y="0"/>
                            <a:ext cx="1489431" cy="426535"/>
                          </a:xfrm>
                          <a:prstGeom prst="rect">
                            <a:avLst/>
                          </a:prstGeom>
                          <a:solidFill>
                            <a:schemeClr val="lt1"/>
                          </a:solidFill>
                          <a:ln w="9525">
                            <a:solidFill>
                              <a:srgbClr val="000000"/>
                            </a:solidFill>
                          </a:ln>
                        </wps:spPr>
                        <wps:txbx>
                          <w:txbxContent>
                            <w:p w:rsidR="007A4AA1" w:rsidRDefault="007A4AA1" w:rsidP="007A4AA1">
                              <w:pPr>
                                <w:pStyle w:val="Web"/>
                                <w:spacing w:before="180" w:beforeAutospacing="0" w:after="180" w:afterAutospacing="0"/>
                                <w:jc w:val="center"/>
                              </w:pPr>
                              <w:r>
                                <w:rPr>
                                  <w:rFonts w:ascii="Times New Roman" w:eastAsia="標楷體" w:hAnsi="標楷體" w:cs="Times New Roman" w:hint="eastAsia"/>
                                  <w:kern w:val="2"/>
                                  <w:sz w:val="22"/>
                                  <w:szCs w:val="22"/>
                                </w:rPr>
                                <w:t>研究主題確認</w:t>
                              </w:r>
                            </w:p>
                          </w:txbxContent>
                        </wps:txbx>
                        <wps:bodyPr rot="0" spcFirstLastPara="0" vert="horz" wrap="square" lIns="0" tIns="0" rIns="0" bIns="0" numCol="1" spcCol="0" rtlCol="0" fromWordArt="0" anchor="t" anchorCtr="0" forceAA="0" compatLnSpc="1">
                          <a:prstTxWarp prst="textNoShape">
                            <a:avLst/>
                          </a:prstTxWarp>
                          <a:noAutofit/>
                        </wps:bodyPr>
                      </wps:wsp>
                      <wps:wsp>
                        <wps:cNvPr id="17" name="文字方塊 8"/>
                        <wps:cNvSpPr txBox="1"/>
                        <wps:spPr>
                          <a:xfrm>
                            <a:off x="3405153" y="640112"/>
                            <a:ext cx="1489431" cy="426535"/>
                          </a:xfrm>
                          <a:prstGeom prst="rect">
                            <a:avLst/>
                          </a:prstGeom>
                          <a:solidFill>
                            <a:schemeClr val="lt1"/>
                          </a:solidFill>
                          <a:ln w="9525">
                            <a:solidFill>
                              <a:srgbClr val="000000"/>
                            </a:solidFill>
                          </a:ln>
                        </wps:spPr>
                        <wps:txbx>
                          <w:txbxContent>
                            <w:p w:rsidR="007A4AA1" w:rsidRDefault="007A4AA1" w:rsidP="007A4AA1">
                              <w:pPr>
                                <w:pStyle w:val="Web"/>
                                <w:spacing w:before="180" w:beforeAutospacing="0" w:after="180" w:afterAutospacing="0"/>
                                <w:jc w:val="center"/>
                              </w:pPr>
                              <w:r>
                                <w:rPr>
                                  <w:rFonts w:ascii="Times New Roman" w:eastAsia="標楷體" w:hAnsi="標楷體" w:cs="Times New Roman" w:hint="eastAsia"/>
                                  <w:sz w:val="22"/>
                                  <w:szCs w:val="22"/>
                                </w:rPr>
                                <w:t>研究主題確認</w:t>
                              </w:r>
                            </w:p>
                          </w:txbxContent>
                        </wps:txbx>
                        <wps:bodyPr rot="0" spcFirstLastPara="0" vert="horz" wrap="square" lIns="0" tIns="0" rIns="0" bIns="0" numCol="1" spcCol="0" rtlCol="0" fromWordArt="0" anchor="t" anchorCtr="0" forceAA="0" compatLnSpc="1">
                          <a:prstTxWarp prst="textNoShape">
                            <a:avLst/>
                          </a:prstTxWarp>
                          <a:noAutofit/>
                        </wps:bodyPr>
                      </wps:wsp>
                      <wps:wsp>
                        <wps:cNvPr id="18" name="文字方塊 9"/>
                        <wps:cNvSpPr txBox="1"/>
                        <wps:spPr>
                          <a:xfrm>
                            <a:off x="3405153" y="1276584"/>
                            <a:ext cx="1489431" cy="426535"/>
                          </a:xfrm>
                          <a:prstGeom prst="rect">
                            <a:avLst/>
                          </a:prstGeom>
                          <a:solidFill>
                            <a:schemeClr val="lt1"/>
                          </a:solidFill>
                          <a:ln w="9525">
                            <a:solidFill>
                              <a:srgbClr val="000000"/>
                            </a:solidFill>
                          </a:ln>
                        </wps:spPr>
                        <wps:txbx>
                          <w:txbxContent>
                            <w:p w:rsidR="007A4AA1" w:rsidRDefault="007A4AA1" w:rsidP="007A4AA1">
                              <w:pPr>
                                <w:pStyle w:val="Web"/>
                                <w:spacing w:before="180" w:beforeAutospacing="0" w:after="180" w:afterAutospacing="0"/>
                                <w:jc w:val="center"/>
                              </w:pPr>
                              <w:r>
                                <w:rPr>
                                  <w:rFonts w:ascii="Times New Roman" w:eastAsia="標楷體" w:hAnsi="標楷體" w:cs="Times New Roman" w:hint="eastAsia"/>
                                  <w:sz w:val="22"/>
                                  <w:szCs w:val="22"/>
                                </w:rPr>
                                <w:t>研究主題確認</w:t>
                              </w:r>
                            </w:p>
                          </w:txbxContent>
                        </wps:txbx>
                        <wps:bodyPr rot="0" spcFirstLastPara="0" vert="horz" wrap="square" lIns="0" tIns="0" rIns="0" bIns="0" numCol="1" spcCol="0" rtlCol="0" fromWordArt="0" anchor="t" anchorCtr="0" forceAA="0" compatLnSpc="1">
                          <a:prstTxWarp prst="textNoShape">
                            <a:avLst/>
                          </a:prstTxWarp>
                          <a:noAutofit/>
                        </wps:bodyPr>
                      </wps:wsp>
                      <wps:wsp>
                        <wps:cNvPr id="11" name="直線單箭頭接點 10"/>
                        <wps:cNvCnPr/>
                        <wps:spPr>
                          <a:xfrm>
                            <a:off x="849438" y="426539"/>
                            <a:ext cx="0" cy="213267"/>
                          </a:xfrm>
                          <a:prstGeom prst="straightConnector1">
                            <a:avLst/>
                          </a:prstGeom>
                          <a:ln w="9525">
                            <a:solidFill>
                              <a:srgbClr val="00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 name="直線單箭頭接點 11"/>
                        <wps:cNvCnPr/>
                        <wps:spPr>
                          <a:xfrm>
                            <a:off x="849438" y="1063011"/>
                            <a:ext cx="0" cy="213267"/>
                          </a:xfrm>
                          <a:prstGeom prst="straightConnector1">
                            <a:avLst/>
                          </a:prstGeom>
                          <a:ln w="9525">
                            <a:solidFill>
                              <a:srgbClr val="00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1" name="直線單箭頭接點 12"/>
                        <wps:cNvCnPr/>
                        <wps:spPr>
                          <a:xfrm>
                            <a:off x="2552562" y="426539"/>
                            <a:ext cx="0" cy="213267"/>
                          </a:xfrm>
                          <a:prstGeom prst="straightConnector1">
                            <a:avLst/>
                          </a:prstGeom>
                          <a:ln w="9525">
                            <a:solidFill>
                              <a:srgbClr val="00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2" name="直線單箭頭接點 13"/>
                        <wps:cNvCnPr/>
                        <wps:spPr>
                          <a:xfrm>
                            <a:off x="2552562" y="1063011"/>
                            <a:ext cx="0" cy="213267"/>
                          </a:xfrm>
                          <a:prstGeom prst="straightConnector1">
                            <a:avLst/>
                          </a:prstGeom>
                          <a:ln w="9525">
                            <a:solidFill>
                              <a:srgbClr val="00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3" name="直線單箭頭接點 14"/>
                        <wps:cNvCnPr/>
                        <wps:spPr>
                          <a:xfrm>
                            <a:off x="4042112" y="426539"/>
                            <a:ext cx="0" cy="213267"/>
                          </a:xfrm>
                          <a:prstGeom prst="straightConnector1">
                            <a:avLst/>
                          </a:prstGeom>
                          <a:ln w="9525">
                            <a:solidFill>
                              <a:srgbClr val="00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4" name="直線單箭頭接點 15"/>
                        <wps:cNvCnPr/>
                        <wps:spPr>
                          <a:xfrm>
                            <a:off x="4042112" y="1063011"/>
                            <a:ext cx="0" cy="213267"/>
                          </a:xfrm>
                          <a:prstGeom prst="straightConnector1">
                            <a:avLst/>
                          </a:prstGeom>
                          <a:ln w="9525">
                            <a:solidFill>
                              <a:srgbClr val="00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5" name="肘形接點 16"/>
                        <wps:cNvCnPr/>
                        <wps:spPr>
                          <a:xfrm rot="5400000" flipH="1" flipV="1">
                            <a:off x="586607" y="371326"/>
                            <a:ext cx="1489431" cy="1169530"/>
                          </a:xfrm>
                          <a:prstGeom prst="bentConnector4">
                            <a:avLst>
                              <a:gd name="adj1" fmla="val -9356"/>
                              <a:gd name="adj2" fmla="val 81788"/>
                            </a:avLst>
                          </a:prstGeom>
                          <a:ln w="9525">
                            <a:solidFill>
                              <a:srgbClr val="00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7" name="肘形接點 17"/>
                        <wps:cNvCnPr/>
                        <wps:spPr>
                          <a:xfrm rot="5400000" flipH="1" flipV="1">
                            <a:off x="2182306" y="477616"/>
                            <a:ext cx="1489431" cy="956263"/>
                          </a:xfrm>
                          <a:prstGeom prst="bentConnector4">
                            <a:avLst>
                              <a:gd name="adj1" fmla="val -9298"/>
                              <a:gd name="adj2" fmla="val 77894"/>
                            </a:avLst>
                          </a:prstGeom>
                          <a:ln w="9525">
                            <a:solidFill>
                              <a:srgbClr val="000000"/>
                            </a:solidFill>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17E6DC34" id="畫布 18" o:spid="_x0000_s1026" editas="canvas" style="width:403.35pt;height:140.3pt;mso-position-horizontal-relative:char;mso-position-vertical-relative:line" coordsize="51225,17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1225;height:17818;visibility:visible;mso-wrap-style:square">
                  <v:fill o:detectmouseclick="t"/>
                  <v:path o:connecttype="none"/>
                </v:shape>
                <v:shapetype id="_x0000_t202" coordsize="21600,21600" o:spt="202" path="m,l,21600r21600,l21600,xe">
                  <v:stroke joinstyle="miter"/>
                  <v:path gradientshapeok="t" o:connecttype="rect"/>
                </v:shapetype>
                <v:shape id="_x0000_s1028" type="#_x0000_t202" style="position:absolute;width:14894;height:4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" fillcolor="white [3201]">
                  <v:textbox inset="0,0,0,0">
                    <w:txbxContent>
                      <w:p w:rsidR="007A4AA1" w:rsidRPr="006863C2" w:rsidRDefault="007A4AA1" w:rsidP="007A4AA1">
                        <w:pPr>
                          <w:spacing w:before="180" w:after="180"/>
                          <w:jc w:val="center"/>
                          <w:rPr>
                            <w:rFonts w:ascii="Times New Roman" w:eastAsia="標楷體" w:hAnsi="Times New Roman"/>
                            <w:sz w:val="22"/>
                          </w:rPr>
                        </w:pPr>
                        <w:r w:rsidRPr="006863C2">
                          <w:rPr>
                            <w:rFonts w:ascii="Times New Roman" w:eastAsia="標楷體" w:hAnsi="Times New Roman" w:hint="eastAsia"/>
                            <w:sz w:val="22"/>
                          </w:rPr>
                          <w:t>研究主題確認</w:t>
                        </w:r>
                      </w:p>
                    </w:txbxContent>
                  </v:textbox>
                </v:shape>
                <v:shape id="_x0000_s1029" type="#_x0000_t202" style="position:absolute;top:6401;width:14894;height:4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" fillcolor="white [3201]">
                  <v:textbox inset="0,0,0,0">
                    <w:txbxContent>
                      <w:p w:rsidR="007A4AA1" w:rsidRPr="00B2021A" w:rsidRDefault="007A4AA1" w:rsidP="007A4AA1">
                        <w:pPr>
                          <w:spacing w:before="180" w:after="180"/>
                          <w:jc w:val="center"/>
                          <w:rPr>
                            <w:rFonts w:ascii="Times New Roman" w:eastAsia="標楷體" w:hAnsi="Times New Roman"/>
                            <w:sz w:val="22"/>
                          </w:rPr>
                        </w:pPr>
                        <w:r>
                          <w:rPr>
                            <w:rFonts w:ascii="Times New Roman" w:eastAsia="標楷體" w:hAnsi="Times New Roman" w:hint="eastAsia"/>
                            <w:sz w:val="22"/>
                          </w:rPr>
                          <w:t>文獻收集與探討</w:t>
                        </w:r>
                      </w:p>
                    </w:txbxContent>
                  </v:textbox>
                </v:shape>
                <v:shape id="文字方塊 3" o:spid="_x0000_s1030" type="#_x0000_t202" style="position:absolute;top:12765;width:14894;height:4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" fillcolor="white [3201]">
                  <v:textbox inset="0,0,0,0">
                    <w:txbxContent>
                      <w:p w:rsidR="007A4AA1" w:rsidRDefault="007A4AA1" w:rsidP="007A4AA1">
                        <w:pPr>
                          <w:pStyle w:val="Web"/>
                          <w:spacing w:before="180" w:beforeAutospacing="0" w:after="180" w:afterAutospacing="0"/>
                          <w:jc w:val="center"/>
                        </w:pPr>
                        <w:r>
                          <w:rPr>
                            <w:rFonts w:ascii="Times New Roman" w:eastAsia="標楷體" w:hAnsi="標楷體" w:cs="Times New Roman" w:hint="eastAsia"/>
                            <w:kern w:val="2"/>
                            <w:sz w:val="22"/>
                            <w:szCs w:val="22"/>
                          </w:rPr>
                          <w:t>研究架構確認</w:t>
                        </w:r>
                      </w:p>
                    </w:txbxContent>
                  </v:textbox>
                </v:shape>
                <v:shape id="文字方塊 4" o:spid="_x0000_s1031" type="#_x0000_t202" style="position:absolute;left:19160;width:10664;height:4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" fillcolor="white [3201]">
                  <v:textbox inset="0,0,0,0">
                    <w:txbxContent>
                      <w:p w:rsidR="007A4AA1" w:rsidRDefault="007A4AA1" w:rsidP="007A4AA1">
                        <w:pPr>
                          <w:pStyle w:val="Web"/>
                          <w:spacing w:before="180" w:beforeAutospacing="0" w:after="180" w:afterAutospacing="0"/>
                          <w:jc w:val="center"/>
                        </w:pPr>
                        <w:r>
                          <w:rPr>
                            <w:rFonts w:ascii="Times New Roman" w:eastAsia="標楷體" w:hAnsi="標楷體" w:cs="Times New Roman" w:hint="eastAsia"/>
                            <w:kern w:val="2"/>
                            <w:sz w:val="22"/>
                            <w:szCs w:val="22"/>
                          </w:rPr>
                          <w:t>研究擬定</w:t>
                        </w:r>
                      </w:p>
                    </w:txbxContent>
                  </v:textbox>
                </v:shape>
                <v:shape id="文字方塊 5" o:spid="_x0000_s1032" type="#_x0000_t202" style="position:absolute;left:19162;top:6401;width:10664;height:4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" fillcolor="white [3201]">
                  <v:textbox inset="0,0,0,0">
                    <w:txbxContent>
                      <w:p w:rsidR="007A4AA1" w:rsidRDefault="007A4AA1" w:rsidP="007A4AA1">
                        <w:pPr>
                          <w:pStyle w:val="Web"/>
                          <w:spacing w:before="180" w:beforeAutospacing="0" w:after="180" w:afterAutospacing="0"/>
                          <w:jc w:val="center"/>
                        </w:pPr>
                        <w:proofErr w:type="gramStart"/>
                        <w:r>
                          <w:rPr>
                            <w:rFonts w:ascii="Times New Roman" w:eastAsia="標楷體" w:hAnsi="標楷體" w:cs="Times New Roman" w:hint="eastAsia"/>
                            <w:sz w:val="22"/>
                            <w:szCs w:val="22"/>
                          </w:rPr>
                          <w:t>前測修正</w:t>
                        </w:r>
                        <w:proofErr w:type="gramEnd"/>
                      </w:p>
                    </w:txbxContent>
                  </v:textbox>
                </v:shape>
                <v:shape id="文字方塊 6" o:spid="_x0000_s1033" type="#_x0000_t202" style="position:absolute;left:19162;top:12765;width:10664;height:4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" fillcolor="white [3201]">
                  <v:textbox inset="0,0,0,0">
                    <w:txbxContent>
                      <w:p w:rsidR="007A4AA1" w:rsidRDefault="007A4AA1" w:rsidP="007A4AA1">
                        <w:pPr>
                          <w:pStyle w:val="Web"/>
                          <w:spacing w:before="180" w:beforeAutospacing="0" w:after="180" w:afterAutospacing="0"/>
                          <w:jc w:val="center"/>
                        </w:pPr>
                        <w:proofErr w:type="gramStart"/>
                        <w:r>
                          <w:rPr>
                            <w:rFonts w:ascii="Times New Roman" w:eastAsia="標楷體" w:hAnsi="標楷體" w:cs="Times New Roman" w:hint="eastAsia"/>
                            <w:sz w:val="22"/>
                            <w:szCs w:val="22"/>
                          </w:rPr>
                          <w:t>信效度</w:t>
                        </w:r>
                        <w:proofErr w:type="gramEnd"/>
                        <w:r>
                          <w:rPr>
                            <w:rFonts w:ascii="Times New Roman" w:eastAsia="標楷體" w:hAnsi="標楷體" w:cs="Times New Roman"/>
                            <w:sz w:val="22"/>
                            <w:szCs w:val="22"/>
                          </w:rPr>
                          <w:t>考驗</w:t>
                        </w:r>
                      </w:p>
                    </w:txbxContent>
                  </v:textbox>
                </v:shape>
                <v:shape id="文字方塊 7" o:spid="_x0000_s1034" type="#_x0000_t202" style="position:absolute;left:34051;width:14894;height:4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" fillcolor="white [3201]">
                  <v:textbox inset="0,0,0,0">
                    <w:txbxContent>
                      <w:p w:rsidR="007A4AA1" w:rsidRDefault="007A4AA1" w:rsidP="007A4AA1">
                        <w:pPr>
                          <w:pStyle w:val="Web"/>
                          <w:spacing w:before="180" w:beforeAutospacing="0" w:after="180" w:afterAutospacing="0"/>
                          <w:jc w:val="center"/>
                        </w:pPr>
                        <w:r>
                          <w:rPr>
                            <w:rFonts w:ascii="Times New Roman" w:eastAsia="標楷體" w:hAnsi="標楷體" w:cs="Times New Roman" w:hint="eastAsia"/>
                            <w:kern w:val="2"/>
                            <w:sz w:val="22"/>
                            <w:szCs w:val="22"/>
                          </w:rPr>
                          <w:t>研究主題確認</w:t>
                        </w:r>
                      </w:p>
                    </w:txbxContent>
                  </v:textbox>
                </v:shape>
                <v:shape id="文字方塊 8" o:spid="_x0000_s1035" type="#_x0000_t202" style="position:absolute;left:34051;top:6401;width:14894;height:4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" fillcolor="white [3201]">
                  <v:textbox inset="0,0,0,0">
                    <w:txbxContent>
                      <w:p w:rsidR="007A4AA1" w:rsidRDefault="007A4AA1" w:rsidP="007A4AA1">
                        <w:pPr>
                          <w:pStyle w:val="Web"/>
                          <w:spacing w:before="180" w:beforeAutospacing="0" w:after="180" w:afterAutospacing="0"/>
                          <w:jc w:val="center"/>
                        </w:pPr>
                        <w:r>
                          <w:rPr>
                            <w:rFonts w:ascii="Times New Roman" w:eastAsia="標楷體" w:hAnsi="標楷體" w:cs="Times New Roman" w:hint="eastAsia"/>
                            <w:sz w:val="22"/>
                            <w:szCs w:val="22"/>
                          </w:rPr>
                          <w:t>研究主題確認</w:t>
                        </w:r>
                      </w:p>
                    </w:txbxContent>
                  </v:textbox>
                </v:shape>
                <v:shape id="文字方塊 9" o:spid="_x0000_s1036" type="#_x0000_t202" style="position:absolute;left:34051;top:12765;width:14894;height:4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" fillcolor="white [3201]">
                  <v:textbox inset="0,0,0,0">
                    <w:txbxContent>
                      <w:p w:rsidR="007A4AA1" w:rsidRDefault="007A4AA1" w:rsidP="007A4AA1">
                        <w:pPr>
                          <w:pStyle w:val="Web"/>
                          <w:spacing w:before="180" w:beforeAutospacing="0" w:after="180" w:afterAutospacing="0"/>
                          <w:jc w:val="center"/>
                        </w:pPr>
                        <w:r>
                          <w:rPr>
                            <w:rFonts w:ascii="Times New Roman" w:eastAsia="標楷體" w:hAnsi="標楷體" w:cs="Times New Roman" w:hint="eastAsia"/>
                            <w:sz w:val="22"/>
                            <w:szCs w:val="22"/>
                          </w:rPr>
                          <w:t>研究主題確認</w:t>
                        </w:r>
                      </w:p>
                    </w:txbxContent>
                  </v:textbox>
                </v:shape>
                <v:shapetype id="_x0000_t32" coordsize="21600,21600" o:spt="32" o:oned="t" path="m,l21600,21600e" filled="f">
                  <v:path arrowok="t" fillok="f" o:connecttype="none"/>
                  <o:lock v:ext="edit" shapetype="t"/>
                </v:shapetype>
                <v:shape id="直線單箭頭接點 10" o:spid="_x0000_s1037" type="#_x0000_t32" style="position:absolute;left:8494;top:4265;width:0;height:21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">
                  <v:stroke endarrow="block" joinstyle="miter"/>
                </v:shape>
                <v:shape id="直線單箭頭接點 11" o:spid="_x0000_s1038" type="#_x0000_t32" style="position:absolute;left:8494;top:10630;width:0;height:21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">
                  <v:stroke endarrow="block" joinstyle="miter"/>
                </v:shape>
                <v:shape id="直線單箭頭接點 12" o:spid="_x0000_s1039" type="#_x0000_t32" style="position:absolute;left:25525;top:4265;width:0;height:21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">
                  <v:stroke endarrow="block" joinstyle="miter"/>
                </v:shape>
                <v:shape id="直線單箭頭接點 13" o:spid="_x0000_s1040" type="#_x0000_t32" style="position:absolute;left:25525;top:10630;width:0;height:21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">
                  <v:stroke endarrow="block" joinstyle="miter"/>
                </v:shape>
                <v:shape id="直線單箭頭接點 14" o:spid="_x0000_s1041" type="#_x0000_t32" style="position:absolute;left:40421;top:4265;width:0;height:21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">
                  <v:stroke endarrow="block" joinstyle="miter"/>
                </v:shape>
                <v:shape id="直線單箭頭接點 15" o:spid="_x0000_s1042" type="#_x0000_t32" style="position:absolute;left:40421;top:10630;width:0;height:21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">
                  <v:stroke endarrow="block" joinstyle="miter"/>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肘形接點 16" o:spid="_x0000_s1043" type="#_x0000_t35" style="position:absolute;left:5865;top:3713;width:14895;height:11695;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" adj="-2021,17666">
                  <v:stroke endarrow="block"/>
                </v:shape>
                <v:shape id="肘形接點 17" o:spid="_x0000_s1044" type="#_x0000_t35" style="position:absolute;left:21823;top:4775;width:14894;height:9563;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" adj="-2008,16825">
                  <v:stroke endarrow="block"/>
                </v:shape>
                <w10:anchorlock/>
              </v:group>
            </w:pict>
          </mc:Fallback>
        </mc:AlternateContent>
      </w:r>
    </w:p>
    <w:p w:rsidR="004B3764" w:rsidRPr="007A4AA1" w:rsidRDefault="004B3764" w:rsidP="007A4AA1">
      <w:pPr>
        <w:jc w:val="center"/>
        <w:rPr>
          <w:rFonts w:ascii="Times New Roman" w:eastAsia="標楷體" w:hAnsi="Times New Roman" w:cs="細明體"/>
          <w:color w:val="C00000"/>
          <w:sz w:val="22"/>
        </w:rPr>
      </w:pPr>
      <w:r w:rsidRPr="007A4AA1">
        <w:rPr>
          <w:rFonts w:ascii="Times New Roman" w:eastAsia="標楷體" w:hAnsi="Times New Roman" w:cs="細明體" w:hint="eastAsia"/>
          <w:color w:val="C00000"/>
          <w:sz w:val="22"/>
        </w:rPr>
        <w:t>研究架構圖</w:t>
      </w:r>
    </w:p>
    <w:p w:rsidR="004B3764" w:rsidRPr="00E649E1" w:rsidRDefault="004B3764" w:rsidP="0045566E">
      <w:pPr>
        <w:rPr>
          <w:rFonts w:ascii="Times New Roman" w:eastAsia="標楷體" w:hAnsi="Times New Roman" w:cs="細明體"/>
        </w:rPr>
      </w:pPr>
    </w:p>
    <w:p w:rsidR="004B3764" w:rsidRPr="00E649E1" w:rsidRDefault="004B3764" w:rsidP="007A4AA1">
      <w:pPr>
        <w:pStyle w:val="1"/>
        <w:spacing w:before="180" w:after="180"/>
      </w:pPr>
      <w:r w:rsidRPr="00E649E1">
        <w:rPr>
          <w:rFonts w:hint="eastAsia"/>
        </w:rPr>
        <w:lastRenderedPageBreak/>
        <w:t>第二章　文獻探討</w:t>
      </w:r>
    </w:p>
    <w:p w:rsidR="004B3764" w:rsidRPr="00E649E1" w:rsidRDefault="004B3764" w:rsidP="007A4AA1">
      <w:pPr>
        <w:pStyle w:val="11"/>
      </w:pPr>
      <w:r w:rsidRPr="00E649E1">
        <w:rPr>
          <w:rFonts w:hint="eastAsia"/>
        </w:rPr>
        <w:t>本章節為整理國內外相關文獻研究結果，以作為本研究之理論根據，並據此推論各項研究假說。</w:t>
      </w:r>
      <w:proofErr w:type="gramStart"/>
      <w:r w:rsidRPr="00E649E1">
        <w:rPr>
          <w:rFonts w:hint="eastAsia"/>
        </w:rPr>
        <w:t>本章共分成</w:t>
      </w:r>
      <w:proofErr w:type="gramEnd"/>
      <w:r w:rsidRPr="00E649E1">
        <w:rPr>
          <w:rFonts w:hint="eastAsia"/>
        </w:rPr>
        <w:t>第一節探討聽覺障礙生，第二節探討學習策略理論，第三節為學習成效的評量方式等。</w:t>
      </w:r>
    </w:p>
    <w:p w:rsidR="004B3764" w:rsidRPr="003E4CE4" w:rsidRDefault="004B3764" w:rsidP="0045566E">
      <w:pPr>
        <w:rPr>
          <w:rFonts w:ascii="Times New Roman" w:eastAsia="標楷體" w:hAnsi="Times New Roman" w:cs="細明體"/>
          <w:color w:val="FFC000"/>
        </w:rPr>
      </w:pPr>
      <w:bookmarkStart w:id="0" w:name="_GoBack"/>
      <w:r w:rsidRPr="003E4CE4">
        <w:rPr>
          <w:rFonts w:ascii="Times New Roman" w:eastAsia="標楷體" w:hAnsi="Times New Roman" w:cs="細明體" w:hint="eastAsia"/>
          <w:color w:val="FFC000"/>
        </w:rPr>
        <w:t>聽覺障礙生</w:t>
      </w:r>
    </w:p>
    <w:bookmarkEnd w:id="0"/>
    <w:p w:rsidR="004B3764" w:rsidRPr="007A4AA1" w:rsidRDefault="004B3764" w:rsidP="0045566E">
      <w:pPr>
        <w:rPr>
          <w:rFonts w:ascii="Times New Roman" w:eastAsia="標楷體" w:hAnsi="Times New Roman" w:cs="細明體"/>
          <w:color w:val="ED7D31" w:themeColor="accent2"/>
        </w:rPr>
      </w:pPr>
      <w:r w:rsidRPr="007A4AA1">
        <w:rPr>
          <w:rFonts w:ascii="Times New Roman" w:eastAsia="標楷體" w:hAnsi="Times New Roman" w:cs="細明體" w:hint="eastAsia"/>
          <w:color w:val="ED7D31" w:themeColor="accent2"/>
        </w:rPr>
        <w:t>聽覺障礙定義及分類</w:t>
      </w:r>
    </w:p>
    <w:p w:rsidR="004B3764" w:rsidRPr="00E649E1" w:rsidRDefault="004B3764" w:rsidP="007A4AA1">
      <w:pPr>
        <w:pStyle w:val="31"/>
        <w:spacing w:before="180" w:after="180"/>
        <w:ind w:firstLine="480"/>
      </w:pPr>
      <w:r w:rsidRPr="00E649E1">
        <w:rPr>
          <w:rFonts w:hint="eastAsia"/>
        </w:rPr>
        <w:t>胡永崇</w:t>
      </w:r>
      <w:r w:rsidRPr="00E649E1">
        <w:rPr>
          <w:rFonts w:hint="eastAsia"/>
        </w:rPr>
        <w:t>(2000)</w:t>
      </w:r>
      <w:r w:rsidRPr="00E649E1">
        <w:rPr>
          <w:rFonts w:hint="eastAsia"/>
        </w:rPr>
        <w:t>指出「聽覺障礙」是指個體無法有效地透過聽覺器官，以致嚴重影響其言語的接受與表達，而目前大多以「音量分貝」來評定個人聽力的損失程度，教育部於民國七十六年頒布「特殊教育施行細則」第十八條規定，按障礙程度將聽覺障礙分為下列四類：輕度：聽力損失在</w:t>
      </w:r>
      <w:r w:rsidRPr="00E649E1">
        <w:rPr>
          <w:rFonts w:hint="eastAsia"/>
        </w:rPr>
        <w:t>25</w:t>
      </w:r>
      <w:r w:rsidRPr="00E649E1">
        <w:rPr>
          <w:rFonts w:hint="eastAsia"/>
        </w:rPr>
        <w:t>～</w:t>
      </w:r>
      <w:r w:rsidRPr="00E649E1">
        <w:rPr>
          <w:rFonts w:hint="eastAsia"/>
        </w:rPr>
        <w:t>40(</w:t>
      </w:r>
      <w:r w:rsidRPr="00E649E1">
        <w:rPr>
          <w:rFonts w:hint="eastAsia"/>
        </w:rPr>
        <w:t>不含</w:t>
      </w:r>
      <w:r w:rsidRPr="00E649E1">
        <w:rPr>
          <w:rFonts w:hint="eastAsia"/>
        </w:rPr>
        <w:t>)</w:t>
      </w:r>
      <w:r w:rsidRPr="00E649E1">
        <w:rPr>
          <w:rFonts w:hint="eastAsia"/>
        </w:rPr>
        <w:t>分貝；中度：聽力損失在</w:t>
      </w:r>
      <w:r w:rsidRPr="00E649E1">
        <w:rPr>
          <w:rFonts w:hint="eastAsia"/>
        </w:rPr>
        <w:t>40</w:t>
      </w:r>
      <w:r w:rsidRPr="00E649E1">
        <w:rPr>
          <w:rFonts w:hint="eastAsia"/>
        </w:rPr>
        <w:t>～</w:t>
      </w:r>
      <w:r w:rsidRPr="00E649E1">
        <w:rPr>
          <w:rFonts w:hint="eastAsia"/>
        </w:rPr>
        <w:t>60(</w:t>
      </w:r>
      <w:r w:rsidRPr="00E649E1">
        <w:rPr>
          <w:rFonts w:hint="eastAsia"/>
        </w:rPr>
        <w:t>不含</w:t>
      </w:r>
      <w:r w:rsidRPr="00E649E1">
        <w:rPr>
          <w:rFonts w:hint="eastAsia"/>
        </w:rPr>
        <w:t>)</w:t>
      </w:r>
      <w:r w:rsidRPr="00E649E1">
        <w:rPr>
          <w:rFonts w:hint="eastAsia"/>
        </w:rPr>
        <w:t>分貝；重度：聽力損失在</w:t>
      </w:r>
      <w:r w:rsidRPr="00E649E1">
        <w:rPr>
          <w:rFonts w:hint="eastAsia"/>
        </w:rPr>
        <w:t>60</w:t>
      </w:r>
      <w:r w:rsidRPr="00E649E1">
        <w:rPr>
          <w:rFonts w:hint="eastAsia"/>
        </w:rPr>
        <w:t>～</w:t>
      </w:r>
      <w:r w:rsidRPr="00E649E1">
        <w:rPr>
          <w:rFonts w:hint="eastAsia"/>
        </w:rPr>
        <w:t>90(</w:t>
      </w:r>
      <w:r w:rsidRPr="00E649E1">
        <w:rPr>
          <w:rFonts w:hint="eastAsia"/>
        </w:rPr>
        <w:t>不含</w:t>
      </w:r>
      <w:r w:rsidRPr="00E649E1">
        <w:rPr>
          <w:rFonts w:hint="eastAsia"/>
        </w:rPr>
        <w:t>)</w:t>
      </w:r>
      <w:r w:rsidRPr="00E649E1">
        <w:rPr>
          <w:rFonts w:hint="eastAsia"/>
        </w:rPr>
        <w:t>分貝；全聾：聽力損失在</w:t>
      </w:r>
      <w:r w:rsidRPr="00E649E1">
        <w:rPr>
          <w:rFonts w:hint="eastAsia"/>
        </w:rPr>
        <w:t>90</w:t>
      </w:r>
      <w:r w:rsidRPr="00E649E1">
        <w:rPr>
          <w:rFonts w:hint="eastAsia"/>
        </w:rPr>
        <w:t>分貝以上。而衛生署後來又訂出「身心障礙等級」，將聽覺障礙，</w:t>
      </w:r>
      <w:proofErr w:type="gramStart"/>
      <w:r w:rsidRPr="00E649E1">
        <w:rPr>
          <w:rFonts w:hint="eastAsia"/>
        </w:rPr>
        <w:t>依優耳聽力</w:t>
      </w:r>
      <w:proofErr w:type="gramEnd"/>
      <w:r w:rsidRPr="00E649E1">
        <w:rPr>
          <w:rFonts w:hint="eastAsia"/>
        </w:rPr>
        <w:t>損失分為三類：輕度：聽力損失在</w:t>
      </w:r>
      <w:r w:rsidRPr="00E649E1">
        <w:rPr>
          <w:rFonts w:hint="eastAsia"/>
        </w:rPr>
        <w:t>55</w:t>
      </w:r>
      <w:r w:rsidRPr="00E649E1">
        <w:rPr>
          <w:rFonts w:hint="eastAsia"/>
        </w:rPr>
        <w:t>～</w:t>
      </w:r>
      <w:r w:rsidRPr="00E649E1">
        <w:rPr>
          <w:rFonts w:hint="eastAsia"/>
        </w:rPr>
        <w:t>70(</w:t>
      </w:r>
      <w:r w:rsidRPr="00E649E1">
        <w:rPr>
          <w:rFonts w:hint="eastAsia"/>
        </w:rPr>
        <w:t>不含</w:t>
      </w:r>
      <w:r w:rsidRPr="00E649E1">
        <w:rPr>
          <w:rFonts w:hint="eastAsia"/>
        </w:rPr>
        <w:t>)</w:t>
      </w:r>
      <w:r w:rsidRPr="00E649E1">
        <w:rPr>
          <w:rFonts w:hint="eastAsia"/>
        </w:rPr>
        <w:t>分貝；中度：聽力損失在</w:t>
      </w:r>
      <w:r w:rsidRPr="00E649E1">
        <w:rPr>
          <w:rFonts w:hint="eastAsia"/>
        </w:rPr>
        <w:t>70</w:t>
      </w:r>
      <w:r w:rsidRPr="00E649E1">
        <w:rPr>
          <w:rFonts w:hint="eastAsia"/>
        </w:rPr>
        <w:t>～</w:t>
      </w:r>
      <w:r w:rsidRPr="00E649E1">
        <w:rPr>
          <w:rFonts w:hint="eastAsia"/>
        </w:rPr>
        <w:t>90(</w:t>
      </w:r>
      <w:r w:rsidRPr="00E649E1">
        <w:rPr>
          <w:rFonts w:hint="eastAsia"/>
        </w:rPr>
        <w:t>不含</w:t>
      </w:r>
      <w:r w:rsidRPr="00E649E1">
        <w:rPr>
          <w:rFonts w:hint="eastAsia"/>
        </w:rPr>
        <w:t>)</w:t>
      </w:r>
      <w:r w:rsidRPr="00E649E1">
        <w:rPr>
          <w:rFonts w:hint="eastAsia"/>
        </w:rPr>
        <w:t>分貝；全聾：聽力損失在</w:t>
      </w:r>
      <w:r w:rsidRPr="00E649E1">
        <w:rPr>
          <w:rFonts w:hint="eastAsia"/>
        </w:rPr>
        <w:t>90</w:t>
      </w:r>
      <w:r w:rsidRPr="00E649E1">
        <w:rPr>
          <w:rFonts w:hint="eastAsia"/>
        </w:rPr>
        <w:t>分貝以上。</w:t>
      </w:r>
    </w:p>
    <w:p w:rsidR="004B3764" w:rsidRPr="00E649E1" w:rsidRDefault="004B3764" w:rsidP="007A4AA1">
      <w:pPr>
        <w:pStyle w:val="31"/>
        <w:spacing w:before="180" w:after="180"/>
        <w:ind w:firstLine="480"/>
      </w:pPr>
      <w:r w:rsidRPr="00E649E1">
        <w:rPr>
          <w:rFonts w:hint="eastAsia"/>
        </w:rPr>
        <w:t>因此本研究根據衛生署所定義出來的聽覺障礙程度，來區分聽障生的聽力程度。</w:t>
      </w:r>
    </w:p>
    <w:p w:rsidR="004B3764" w:rsidRPr="007A4AA1" w:rsidRDefault="004B3764" w:rsidP="0045566E">
      <w:pPr>
        <w:rPr>
          <w:rFonts w:ascii="Times New Roman" w:eastAsia="標楷體" w:hAnsi="Times New Roman" w:cs="細明體"/>
          <w:color w:val="ED7D31" w:themeColor="accent2"/>
        </w:rPr>
      </w:pPr>
      <w:r w:rsidRPr="007A4AA1">
        <w:rPr>
          <w:rFonts w:ascii="Times New Roman" w:eastAsia="標楷體" w:hAnsi="Times New Roman" w:cs="細明體" w:hint="eastAsia"/>
          <w:color w:val="ED7D31" w:themeColor="accent2"/>
        </w:rPr>
        <w:t>聽障生與學習成效的相關研究</w:t>
      </w:r>
    </w:p>
    <w:p w:rsidR="004B3764" w:rsidRPr="00E649E1" w:rsidRDefault="004B3764" w:rsidP="007A4AA1">
      <w:pPr>
        <w:pStyle w:val="31"/>
        <w:spacing w:before="180" w:after="180"/>
        <w:ind w:firstLine="480"/>
      </w:pPr>
      <w:r w:rsidRPr="00E649E1">
        <w:rPr>
          <w:rFonts w:hint="eastAsia"/>
        </w:rPr>
        <w:t>蕭金土</w:t>
      </w:r>
      <w:r w:rsidRPr="00E649E1">
        <w:rPr>
          <w:rFonts w:hint="eastAsia"/>
        </w:rPr>
        <w:t>(1984)</w:t>
      </w:r>
      <w:r w:rsidRPr="00E649E1">
        <w:rPr>
          <w:rFonts w:hint="eastAsia"/>
        </w:rPr>
        <w:t>指出，聽覺障礙學生的學業成效呈現出隨著年級之增長其學業成效越低落的現；</w:t>
      </w:r>
      <w:r w:rsidRPr="00E649E1">
        <w:rPr>
          <w:rFonts w:hint="eastAsia"/>
        </w:rPr>
        <w:t>Kirk &amp; Gallagher(1986)</w:t>
      </w:r>
      <w:r w:rsidRPr="00E649E1">
        <w:rPr>
          <w:rFonts w:hint="eastAsia"/>
        </w:rPr>
        <w:t>發現聽力損失程度越高，學業</w:t>
      </w:r>
      <w:proofErr w:type="gramStart"/>
      <w:r w:rsidRPr="00E649E1">
        <w:rPr>
          <w:rFonts w:hint="eastAsia"/>
        </w:rPr>
        <w:t>成效越差</w:t>
      </w:r>
      <w:proofErr w:type="gramEnd"/>
      <w:r w:rsidRPr="00E649E1">
        <w:rPr>
          <w:rFonts w:hint="eastAsia"/>
        </w:rPr>
        <w:t>；</w:t>
      </w:r>
      <w:proofErr w:type="spellStart"/>
      <w:r w:rsidRPr="00E649E1">
        <w:rPr>
          <w:rFonts w:hint="eastAsia"/>
        </w:rPr>
        <w:t>Moores</w:t>
      </w:r>
      <w:proofErr w:type="spellEnd"/>
      <w:r w:rsidRPr="00E649E1">
        <w:rPr>
          <w:rFonts w:hint="eastAsia"/>
        </w:rPr>
        <w:t xml:space="preserve"> J. &amp; </w:t>
      </w:r>
      <w:proofErr w:type="spellStart"/>
      <w:r w:rsidRPr="00E649E1">
        <w:rPr>
          <w:rFonts w:hint="eastAsia"/>
        </w:rPr>
        <w:t>Moores</w:t>
      </w:r>
      <w:proofErr w:type="spellEnd"/>
      <w:r w:rsidRPr="00E649E1">
        <w:rPr>
          <w:rFonts w:hint="eastAsia"/>
        </w:rPr>
        <w:t xml:space="preserve"> </w:t>
      </w:r>
      <w:proofErr w:type="gramStart"/>
      <w:r w:rsidRPr="00E649E1">
        <w:rPr>
          <w:rFonts w:hint="eastAsia"/>
        </w:rPr>
        <w:t>D.(</w:t>
      </w:r>
      <w:proofErr w:type="gramEnd"/>
      <w:r w:rsidRPr="00E649E1">
        <w:rPr>
          <w:rFonts w:hint="eastAsia"/>
        </w:rPr>
        <w:t>1982)</w:t>
      </w:r>
      <w:r w:rsidRPr="00E649E1">
        <w:rPr>
          <w:rFonts w:hint="eastAsia"/>
        </w:rPr>
        <w:t>指出越早接受學前特殊教育的聽障生，在學業成效上會比較優異；</w:t>
      </w:r>
      <w:r w:rsidRPr="00E649E1">
        <w:rPr>
          <w:rFonts w:hint="eastAsia"/>
        </w:rPr>
        <w:t xml:space="preserve">Vernon &amp; </w:t>
      </w:r>
      <w:proofErr w:type="spellStart"/>
      <w:r w:rsidRPr="00E649E1">
        <w:rPr>
          <w:rFonts w:hint="eastAsia"/>
        </w:rPr>
        <w:t>Koh</w:t>
      </w:r>
      <w:proofErr w:type="spellEnd"/>
      <w:r w:rsidRPr="00E649E1">
        <w:rPr>
          <w:rFonts w:hint="eastAsia"/>
        </w:rPr>
        <w:t>(1970)</w:t>
      </w:r>
      <w:r w:rsidRPr="00E649E1">
        <w:rPr>
          <w:rFonts w:hint="eastAsia"/>
        </w:rPr>
        <w:t>指出，雙親是聾人的聽障生在學業成效上面會比雙親是正常人來的要好。由以上文獻得知，聽障生的學習成效會與個人的背景不同而有所不同。</w:t>
      </w:r>
    </w:p>
    <w:p w:rsidR="004B3764" w:rsidRPr="007A4AA1" w:rsidRDefault="004B3764" w:rsidP="0045566E">
      <w:pPr>
        <w:rPr>
          <w:rFonts w:ascii="Times New Roman" w:eastAsia="標楷體" w:hAnsi="Times New Roman" w:cs="細明體"/>
          <w:color w:val="FFC000"/>
        </w:rPr>
      </w:pPr>
      <w:r w:rsidRPr="007A4AA1">
        <w:rPr>
          <w:rFonts w:ascii="Times New Roman" w:eastAsia="標楷體" w:hAnsi="Times New Roman" w:cs="細明體" w:hint="eastAsia"/>
          <w:color w:val="FFC000"/>
        </w:rPr>
        <w:t>學習策略</w:t>
      </w:r>
    </w:p>
    <w:p w:rsidR="004B3764" w:rsidRPr="007A4AA1" w:rsidRDefault="004B3764" w:rsidP="0045566E">
      <w:pPr>
        <w:rPr>
          <w:rFonts w:ascii="Times New Roman" w:eastAsia="標楷體" w:hAnsi="Times New Roman" w:cs="細明體"/>
          <w:color w:val="ED7D31" w:themeColor="accent2"/>
        </w:rPr>
      </w:pPr>
      <w:r w:rsidRPr="007A4AA1">
        <w:rPr>
          <w:rFonts w:ascii="Times New Roman" w:eastAsia="標楷體" w:hAnsi="Times New Roman" w:cs="細明體" w:hint="eastAsia"/>
          <w:color w:val="ED7D31" w:themeColor="accent2"/>
        </w:rPr>
        <w:lastRenderedPageBreak/>
        <w:t>學習策略的定義</w:t>
      </w:r>
    </w:p>
    <w:p w:rsidR="004B3764" w:rsidRPr="00E649E1" w:rsidRDefault="004B3764" w:rsidP="007A4AA1">
      <w:pPr>
        <w:pStyle w:val="31"/>
        <w:spacing w:before="180" w:after="180"/>
        <w:ind w:firstLine="480"/>
      </w:pPr>
      <w:r w:rsidRPr="00E649E1">
        <w:rPr>
          <w:rFonts w:hint="eastAsia"/>
        </w:rPr>
        <w:t>國內外對學習策略的定義大都不同，</w:t>
      </w:r>
      <w:proofErr w:type="gramStart"/>
      <w:r w:rsidRPr="00E649E1">
        <w:rPr>
          <w:rFonts w:hint="eastAsia"/>
        </w:rPr>
        <w:t>胥彥</w:t>
      </w:r>
      <w:proofErr w:type="gramEnd"/>
      <w:r w:rsidRPr="00E649E1">
        <w:rPr>
          <w:rFonts w:hint="eastAsia"/>
        </w:rPr>
        <w:t>華</w:t>
      </w:r>
      <w:r w:rsidRPr="00E649E1">
        <w:rPr>
          <w:rFonts w:hint="eastAsia"/>
        </w:rPr>
        <w:t>(1989)</w:t>
      </w:r>
      <w:r w:rsidRPr="00E649E1">
        <w:rPr>
          <w:rFonts w:hint="eastAsia"/>
        </w:rPr>
        <w:t>指出學習策略是在學習過程中，任何被學習者所採用以促進學習效能的活動。</w:t>
      </w:r>
      <w:r w:rsidRPr="00E649E1">
        <w:rPr>
          <w:rFonts w:hint="eastAsia"/>
        </w:rPr>
        <w:t>Weinstein &amp; Mayer(1986)</w:t>
      </w:r>
      <w:r w:rsidRPr="00E649E1">
        <w:rPr>
          <w:rFonts w:hint="eastAsia"/>
        </w:rPr>
        <w:t>將學習策略定義為學習者使用所有有助於知識的獲得、保持與記憶的行為及思考活動。</w:t>
      </w:r>
      <w:r w:rsidRPr="00E649E1">
        <w:rPr>
          <w:rFonts w:hint="eastAsia"/>
        </w:rPr>
        <w:t>Mayer(1987)</w:t>
      </w:r>
      <w:r w:rsidRPr="00E649E1">
        <w:rPr>
          <w:rFonts w:hint="eastAsia"/>
        </w:rPr>
        <w:t>認為學習策略是指在學習過程中任何被學習者用來促進學習效能的各種活動，例如：</w:t>
      </w:r>
      <w:proofErr w:type="gramStart"/>
      <w:r w:rsidRPr="00E649E1">
        <w:rPr>
          <w:rFonts w:hint="eastAsia"/>
        </w:rPr>
        <w:t>主動覆誦</w:t>
      </w:r>
      <w:proofErr w:type="gramEnd"/>
      <w:r w:rsidRPr="00E649E1">
        <w:rPr>
          <w:rFonts w:hint="eastAsia"/>
        </w:rPr>
        <w:t>教材、將教材重組成有意義的表示、利用圖像的方式幫助記憶等。</w:t>
      </w:r>
    </w:p>
    <w:p w:rsidR="004B3764" w:rsidRPr="00E649E1" w:rsidRDefault="004B3764" w:rsidP="007A4AA1">
      <w:pPr>
        <w:pStyle w:val="31"/>
        <w:spacing w:before="180" w:after="180"/>
        <w:ind w:firstLine="480"/>
      </w:pPr>
      <w:r w:rsidRPr="00E649E1">
        <w:rPr>
          <w:rFonts w:hint="eastAsia"/>
        </w:rPr>
        <w:t>由以上文獻可以得知，學習策略主要是由學習者在學習的過程中，主動去運用的，經由本研究歸納將學習策略定義為：「學習者在學習過程主動運用各種方法，進而促進學習成效為最終目的」。</w:t>
      </w:r>
    </w:p>
    <w:p w:rsidR="004B3764" w:rsidRPr="007A4AA1" w:rsidRDefault="004B3764" w:rsidP="0045566E">
      <w:pPr>
        <w:rPr>
          <w:rFonts w:ascii="Times New Roman" w:eastAsia="標楷體" w:hAnsi="Times New Roman" w:cs="細明體"/>
          <w:color w:val="ED7D31" w:themeColor="accent2"/>
        </w:rPr>
      </w:pPr>
      <w:r w:rsidRPr="007A4AA1">
        <w:rPr>
          <w:rFonts w:ascii="Times New Roman" w:eastAsia="標楷體" w:hAnsi="Times New Roman" w:cs="細明體" w:hint="eastAsia"/>
          <w:color w:val="ED7D31" w:themeColor="accent2"/>
        </w:rPr>
        <w:t>學習策略分類</w:t>
      </w:r>
    </w:p>
    <w:p w:rsidR="004B3764" w:rsidRPr="00E649E1" w:rsidRDefault="004B3764" w:rsidP="007A4AA1">
      <w:pPr>
        <w:pStyle w:val="31"/>
        <w:spacing w:before="180" w:after="180"/>
        <w:ind w:firstLine="480"/>
      </w:pPr>
      <w:r w:rsidRPr="00E649E1">
        <w:rPr>
          <w:rFonts w:hint="eastAsia"/>
        </w:rPr>
        <w:t>有關於策略的分類，大部分學者的看法都不盡相同，分別說明如下：</w:t>
      </w:r>
    </w:p>
    <w:p w:rsidR="004B3764" w:rsidRPr="00E649E1" w:rsidRDefault="004B3764" w:rsidP="007A4AA1">
      <w:pPr>
        <w:pStyle w:val="31"/>
        <w:spacing w:before="180" w:after="180"/>
        <w:ind w:firstLine="480"/>
      </w:pPr>
      <w:r w:rsidRPr="00E649E1">
        <w:rPr>
          <w:rFonts w:hint="eastAsia"/>
        </w:rPr>
        <w:t>Weinstein &amp; Mayer(1986)</w:t>
      </w:r>
      <w:r w:rsidRPr="00E649E1">
        <w:rPr>
          <w:rFonts w:hint="eastAsia"/>
        </w:rPr>
        <w:t>進一步歸納先前的研究文獻，將學習策略分為八類，分別是</w:t>
      </w:r>
      <w:r w:rsidRPr="00E649E1">
        <w:rPr>
          <w:rFonts w:hint="eastAsia"/>
        </w:rPr>
        <w:t>(1)</w:t>
      </w:r>
      <w:r w:rsidRPr="00E649E1">
        <w:rPr>
          <w:rFonts w:hint="eastAsia"/>
        </w:rPr>
        <w:t>基本的演練策略、</w:t>
      </w:r>
      <w:r w:rsidRPr="00E649E1">
        <w:rPr>
          <w:rFonts w:hint="eastAsia"/>
        </w:rPr>
        <w:t>(2)</w:t>
      </w:r>
      <w:r w:rsidRPr="00E649E1">
        <w:rPr>
          <w:rFonts w:hint="eastAsia"/>
        </w:rPr>
        <w:t>複雜的演練策略、</w:t>
      </w:r>
      <w:r w:rsidRPr="00E649E1">
        <w:rPr>
          <w:rFonts w:hint="eastAsia"/>
        </w:rPr>
        <w:t>(3)</w:t>
      </w:r>
      <w:r w:rsidRPr="00E649E1">
        <w:rPr>
          <w:rFonts w:hint="eastAsia"/>
        </w:rPr>
        <w:t>基本的精緻化策略、</w:t>
      </w:r>
      <w:r w:rsidRPr="00E649E1">
        <w:rPr>
          <w:rFonts w:hint="eastAsia"/>
        </w:rPr>
        <w:t>(4)</w:t>
      </w:r>
      <w:r w:rsidRPr="00E649E1">
        <w:rPr>
          <w:rFonts w:hint="eastAsia"/>
        </w:rPr>
        <w:t>複雜的精緻化策略、</w:t>
      </w:r>
      <w:r w:rsidRPr="00E649E1">
        <w:rPr>
          <w:rFonts w:hint="eastAsia"/>
        </w:rPr>
        <w:t>(5)</w:t>
      </w:r>
      <w:r w:rsidRPr="00E649E1">
        <w:rPr>
          <w:rFonts w:hint="eastAsia"/>
        </w:rPr>
        <w:t>基本的組織策略</w:t>
      </w:r>
      <w:proofErr w:type="gramStart"/>
      <w:r w:rsidRPr="00E649E1">
        <w:rPr>
          <w:rFonts w:hint="eastAsia"/>
        </w:rPr>
        <w:t>策略</w:t>
      </w:r>
      <w:proofErr w:type="gramEnd"/>
      <w:r w:rsidRPr="00E649E1">
        <w:rPr>
          <w:rFonts w:hint="eastAsia"/>
        </w:rPr>
        <w:t>、</w:t>
      </w:r>
      <w:r w:rsidRPr="00E649E1">
        <w:rPr>
          <w:rFonts w:hint="eastAsia"/>
        </w:rPr>
        <w:t>(6)</w:t>
      </w:r>
      <w:r w:rsidRPr="00E649E1">
        <w:rPr>
          <w:rFonts w:hint="eastAsia"/>
        </w:rPr>
        <w:t>複雜的組織策略</w:t>
      </w:r>
      <w:proofErr w:type="gramStart"/>
      <w:r w:rsidRPr="00E649E1">
        <w:rPr>
          <w:rFonts w:hint="eastAsia"/>
        </w:rPr>
        <w:t>策略</w:t>
      </w:r>
      <w:proofErr w:type="gramEnd"/>
      <w:r w:rsidRPr="00E649E1">
        <w:rPr>
          <w:rFonts w:hint="eastAsia"/>
        </w:rPr>
        <w:t>、</w:t>
      </w:r>
      <w:r w:rsidRPr="00E649E1">
        <w:rPr>
          <w:rFonts w:hint="eastAsia"/>
        </w:rPr>
        <w:t>(7)</w:t>
      </w:r>
      <w:r w:rsidRPr="00E649E1">
        <w:rPr>
          <w:rFonts w:hint="eastAsia"/>
        </w:rPr>
        <w:t>理解監控策略</w:t>
      </w:r>
      <w:proofErr w:type="gramStart"/>
      <w:r w:rsidRPr="00E649E1">
        <w:rPr>
          <w:rFonts w:hint="eastAsia"/>
        </w:rPr>
        <w:t>策略</w:t>
      </w:r>
      <w:proofErr w:type="gramEnd"/>
      <w:r w:rsidRPr="00E649E1">
        <w:rPr>
          <w:rFonts w:hint="eastAsia"/>
        </w:rPr>
        <w:t>、</w:t>
      </w:r>
      <w:r w:rsidRPr="00E649E1">
        <w:rPr>
          <w:rFonts w:hint="eastAsia"/>
        </w:rPr>
        <w:t>(8)</w:t>
      </w:r>
      <w:r w:rsidRPr="00E649E1">
        <w:rPr>
          <w:rFonts w:hint="eastAsia"/>
        </w:rPr>
        <w:t>動機與情意策略。</w:t>
      </w:r>
      <w:proofErr w:type="spellStart"/>
      <w:r w:rsidRPr="00E649E1">
        <w:rPr>
          <w:rFonts w:hint="eastAsia"/>
        </w:rPr>
        <w:t>Mckeachie</w:t>
      </w:r>
      <w:proofErr w:type="spellEnd"/>
      <w:r w:rsidRPr="00E649E1">
        <w:rPr>
          <w:rFonts w:hint="eastAsia"/>
        </w:rPr>
        <w:t xml:space="preserve"> et al.(</w:t>
      </w:r>
      <w:proofErr w:type="gramStart"/>
      <w:r w:rsidRPr="00E649E1">
        <w:rPr>
          <w:rFonts w:hint="eastAsia"/>
        </w:rPr>
        <w:t>1986)</w:t>
      </w:r>
      <w:r w:rsidRPr="00E649E1">
        <w:rPr>
          <w:rFonts w:hint="eastAsia"/>
        </w:rPr>
        <w:t>綜合各學者的看法</w:t>
      </w:r>
      <w:proofErr w:type="gramEnd"/>
      <w:r w:rsidRPr="00E649E1">
        <w:rPr>
          <w:rFonts w:hint="eastAsia"/>
        </w:rPr>
        <w:t>，將學習策略分為三類：</w:t>
      </w:r>
      <w:r w:rsidRPr="00E649E1">
        <w:rPr>
          <w:rFonts w:hint="eastAsia"/>
        </w:rPr>
        <w:t>(1)</w:t>
      </w:r>
      <w:r w:rsidRPr="00E649E1">
        <w:rPr>
          <w:rFonts w:hint="eastAsia"/>
        </w:rPr>
        <w:t>認知策略、</w:t>
      </w:r>
      <w:r w:rsidRPr="00E649E1">
        <w:rPr>
          <w:rFonts w:hint="eastAsia"/>
        </w:rPr>
        <w:t>(2)</w:t>
      </w:r>
      <w:r w:rsidRPr="00E649E1">
        <w:rPr>
          <w:rFonts w:hint="eastAsia"/>
        </w:rPr>
        <w:t>後設認知策略及</w:t>
      </w:r>
      <w:r w:rsidRPr="00E649E1">
        <w:rPr>
          <w:rFonts w:hint="eastAsia"/>
        </w:rPr>
        <w:t>(3)</w:t>
      </w:r>
      <w:r w:rsidRPr="00E649E1">
        <w:rPr>
          <w:rFonts w:hint="eastAsia"/>
        </w:rPr>
        <w:t>資源經營策略。</w:t>
      </w:r>
      <w:proofErr w:type="spellStart"/>
      <w:r w:rsidRPr="00E649E1">
        <w:rPr>
          <w:rFonts w:hint="eastAsia"/>
        </w:rPr>
        <w:t>Pintrich</w:t>
      </w:r>
      <w:proofErr w:type="spellEnd"/>
      <w:r w:rsidRPr="00E649E1">
        <w:rPr>
          <w:rFonts w:hint="eastAsia"/>
        </w:rPr>
        <w:t xml:space="preserve"> et al.(1991)</w:t>
      </w:r>
      <w:r w:rsidRPr="00E649E1">
        <w:rPr>
          <w:rFonts w:hint="eastAsia"/>
        </w:rPr>
        <w:t>綜合各學者的看法，將學習策略分為：動機、認知、資源經營類。邱瓊慧</w:t>
      </w:r>
      <w:r w:rsidRPr="00E649E1">
        <w:rPr>
          <w:rFonts w:hint="eastAsia"/>
        </w:rPr>
        <w:t>(2006)</w:t>
      </w:r>
      <w:r w:rsidRPr="00E649E1">
        <w:rPr>
          <w:rFonts w:hint="eastAsia"/>
        </w:rPr>
        <w:t>將數位學習學習策略分類為：</w:t>
      </w:r>
      <w:r w:rsidRPr="00E649E1">
        <w:rPr>
          <w:rFonts w:hint="eastAsia"/>
        </w:rPr>
        <w:t>(1)</w:t>
      </w:r>
      <w:r w:rsidRPr="00E649E1">
        <w:rPr>
          <w:rFonts w:hint="eastAsia"/>
        </w:rPr>
        <w:t>正確資訊的傳達；</w:t>
      </w:r>
      <w:r w:rsidRPr="00E649E1">
        <w:rPr>
          <w:rFonts w:hint="eastAsia"/>
        </w:rPr>
        <w:t>(4)</w:t>
      </w:r>
      <w:r w:rsidRPr="00E649E1">
        <w:rPr>
          <w:rFonts w:hint="eastAsia"/>
        </w:rPr>
        <w:t>認知層面；</w:t>
      </w:r>
      <w:r w:rsidRPr="00E649E1">
        <w:rPr>
          <w:rFonts w:hint="eastAsia"/>
        </w:rPr>
        <w:t>(3)</w:t>
      </w:r>
      <w:r w:rsidRPr="00E649E1">
        <w:rPr>
          <w:rFonts w:hint="eastAsia"/>
        </w:rPr>
        <w:t>知識建構層面；</w:t>
      </w:r>
      <w:r w:rsidRPr="00E649E1">
        <w:rPr>
          <w:rFonts w:hint="eastAsia"/>
        </w:rPr>
        <w:t>(2)</w:t>
      </w:r>
      <w:r w:rsidRPr="00E649E1">
        <w:rPr>
          <w:rFonts w:hint="eastAsia"/>
        </w:rPr>
        <w:t>社會文化層面；</w:t>
      </w:r>
      <w:r w:rsidRPr="00E649E1">
        <w:rPr>
          <w:rFonts w:hint="eastAsia"/>
        </w:rPr>
        <w:t>(5)</w:t>
      </w:r>
      <w:r w:rsidRPr="00E649E1">
        <w:rPr>
          <w:rFonts w:hint="eastAsia"/>
        </w:rPr>
        <w:t>學習的後設認知。</w:t>
      </w:r>
    </w:p>
    <w:p w:rsidR="004B3764" w:rsidRPr="007A4AA1" w:rsidRDefault="004B3764" w:rsidP="0045566E">
      <w:pPr>
        <w:rPr>
          <w:rFonts w:ascii="Times New Roman" w:eastAsia="標楷體" w:hAnsi="Times New Roman" w:cs="細明體"/>
          <w:color w:val="ED7D31" w:themeColor="accent2"/>
        </w:rPr>
      </w:pPr>
      <w:r w:rsidRPr="007A4AA1">
        <w:rPr>
          <w:rFonts w:ascii="Times New Roman" w:eastAsia="標楷體" w:hAnsi="Times New Roman" w:cs="細明體" w:hint="eastAsia"/>
          <w:color w:val="ED7D31" w:themeColor="accent2"/>
        </w:rPr>
        <w:t>學習策略相關理論</w:t>
      </w:r>
    </w:p>
    <w:p w:rsidR="004B3764" w:rsidRPr="007A4AA1" w:rsidRDefault="004B3764" w:rsidP="0045566E">
      <w:pPr>
        <w:rPr>
          <w:rFonts w:ascii="Times New Roman" w:eastAsia="標楷體" w:hAnsi="Times New Roman" w:cs="細明體"/>
          <w:color w:val="00B050"/>
        </w:rPr>
      </w:pPr>
      <w:r w:rsidRPr="007A4AA1">
        <w:rPr>
          <w:rFonts w:ascii="Times New Roman" w:eastAsia="標楷體" w:hAnsi="Times New Roman" w:cs="細明體" w:hint="eastAsia"/>
          <w:color w:val="00B050"/>
        </w:rPr>
        <w:t>訊息處理理論：</w:t>
      </w:r>
    </w:p>
    <w:p w:rsidR="004B3764" w:rsidRPr="00E649E1" w:rsidRDefault="004B3764" w:rsidP="007A4AA1">
      <w:pPr>
        <w:pStyle w:val="41"/>
      </w:pPr>
      <w:r w:rsidRPr="00E649E1">
        <w:rPr>
          <w:rFonts w:hint="eastAsia"/>
        </w:rPr>
        <w:t>Mayer(1987)</w:t>
      </w:r>
      <w:r w:rsidRPr="00E649E1">
        <w:rPr>
          <w:rFonts w:hint="eastAsia"/>
        </w:rPr>
        <w:t>認為訊息處理系統中的學習歷程是個體接受外界訊息，經由感覺接受器而達到短期記憶，在短期記憶中的訊息經</w:t>
      </w:r>
      <w:proofErr w:type="gramStart"/>
      <w:r w:rsidRPr="00E649E1">
        <w:rPr>
          <w:rFonts w:hint="eastAsia"/>
        </w:rPr>
        <w:t>複</w:t>
      </w:r>
      <w:proofErr w:type="gramEnd"/>
      <w:r w:rsidRPr="00E649E1">
        <w:rPr>
          <w:rFonts w:hint="eastAsia"/>
        </w:rPr>
        <w:t>誦，在進行內外聯合後，就可以儲存在長期記憶中，再由長期記憶輸出訊息。</w:t>
      </w:r>
    </w:p>
    <w:p w:rsidR="004B3764" w:rsidRPr="007A4AA1" w:rsidRDefault="004B3764" w:rsidP="0045566E">
      <w:pPr>
        <w:rPr>
          <w:rFonts w:ascii="Times New Roman" w:eastAsia="標楷體" w:hAnsi="Times New Roman" w:cs="細明體"/>
          <w:color w:val="00B050"/>
        </w:rPr>
      </w:pPr>
      <w:r w:rsidRPr="007A4AA1">
        <w:rPr>
          <w:rFonts w:ascii="Times New Roman" w:eastAsia="標楷體" w:hAnsi="Times New Roman" w:cs="細明體" w:hint="eastAsia"/>
          <w:color w:val="00B050"/>
        </w:rPr>
        <w:lastRenderedPageBreak/>
        <w:t>後設認知理論：</w:t>
      </w:r>
    </w:p>
    <w:p w:rsidR="004B3764" w:rsidRPr="00E649E1" w:rsidRDefault="004B3764" w:rsidP="007A4AA1">
      <w:pPr>
        <w:pStyle w:val="41"/>
      </w:pPr>
      <w:proofErr w:type="spellStart"/>
      <w:r w:rsidRPr="00E649E1">
        <w:rPr>
          <w:rFonts w:hint="eastAsia"/>
        </w:rPr>
        <w:t>Flavell</w:t>
      </w:r>
      <w:proofErr w:type="spellEnd"/>
      <w:r w:rsidRPr="00E649E1">
        <w:rPr>
          <w:rFonts w:hint="eastAsia"/>
        </w:rPr>
        <w:t>(1981)</w:t>
      </w:r>
      <w:r w:rsidRPr="00E649E1">
        <w:rPr>
          <w:rFonts w:hint="eastAsia"/>
        </w:rPr>
        <w:t>將後設認知分為三類，</w:t>
      </w:r>
      <w:r w:rsidRPr="00E649E1">
        <w:rPr>
          <w:rFonts w:hint="eastAsia"/>
        </w:rPr>
        <w:t>(1)</w:t>
      </w:r>
      <w:r w:rsidRPr="00E649E1">
        <w:rPr>
          <w:rFonts w:hint="eastAsia"/>
        </w:rPr>
        <w:t>後設認知的知識：處理與認知有關的知識，它是個人長期累積而來的知識和信念，平日儲存在長期記憶中；</w:t>
      </w:r>
      <w:r w:rsidRPr="00E649E1">
        <w:rPr>
          <w:rFonts w:hint="eastAsia"/>
        </w:rPr>
        <w:t>(2)</w:t>
      </w:r>
      <w:r w:rsidRPr="00E649E1">
        <w:rPr>
          <w:rFonts w:hint="eastAsia"/>
        </w:rPr>
        <w:t>後設認知的經驗：伴隨認知活動而建立的感覺或經驗；</w:t>
      </w:r>
      <w:r w:rsidRPr="00E649E1">
        <w:rPr>
          <w:rFonts w:hint="eastAsia"/>
        </w:rPr>
        <w:t>(3)</w:t>
      </w:r>
      <w:r w:rsidRPr="00E649E1">
        <w:rPr>
          <w:rFonts w:hint="eastAsia"/>
        </w:rPr>
        <w:t>策略運用：運用認知或後設認知策略，以監控目標達成情形。</w:t>
      </w:r>
      <w:r w:rsidRPr="00E649E1">
        <w:rPr>
          <w:rFonts w:hint="eastAsia"/>
        </w:rPr>
        <w:t xml:space="preserve"> </w:t>
      </w:r>
    </w:p>
    <w:p w:rsidR="004B3764" w:rsidRPr="00770DBD" w:rsidRDefault="004B3764" w:rsidP="0045566E">
      <w:pPr>
        <w:rPr>
          <w:rFonts w:ascii="Times New Roman" w:eastAsia="標楷體" w:hAnsi="Times New Roman" w:cs="細明體"/>
          <w:color w:val="00B050"/>
        </w:rPr>
      </w:pPr>
      <w:r w:rsidRPr="00770DBD">
        <w:rPr>
          <w:rFonts w:ascii="Times New Roman" w:eastAsia="標楷體" w:hAnsi="Times New Roman" w:cs="細明體" w:hint="eastAsia"/>
          <w:color w:val="00B050"/>
        </w:rPr>
        <w:t>自動化學習模式：</w:t>
      </w:r>
    </w:p>
    <w:p w:rsidR="004B3764" w:rsidRPr="00E649E1" w:rsidRDefault="004B3764" w:rsidP="00770DBD">
      <w:pPr>
        <w:pStyle w:val="41"/>
      </w:pPr>
      <w:r w:rsidRPr="00E649E1">
        <w:rPr>
          <w:rFonts w:hint="eastAsia"/>
        </w:rPr>
        <w:t>由</w:t>
      </w:r>
      <w:r w:rsidRPr="00E649E1">
        <w:rPr>
          <w:rFonts w:hint="eastAsia"/>
        </w:rPr>
        <w:t xml:space="preserve">Thomas &amp; </w:t>
      </w:r>
      <w:proofErr w:type="spellStart"/>
      <w:r w:rsidRPr="00E649E1">
        <w:rPr>
          <w:rFonts w:hint="eastAsia"/>
        </w:rPr>
        <w:t>Rohwer</w:t>
      </w:r>
      <w:proofErr w:type="spellEnd"/>
      <w:r w:rsidRPr="00E649E1">
        <w:rPr>
          <w:rFonts w:hint="eastAsia"/>
        </w:rPr>
        <w:t>(1986)</w:t>
      </w:r>
      <w:r w:rsidRPr="00E649E1">
        <w:rPr>
          <w:rFonts w:hint="eastAsia"/>
        </w:rPr>
        <w:t>所提出來的學習理論。他以學生的</w:t>
      </w:r>
      <w:proofErr w:type="gramStart"/>
      <w:r w:rsidRPr="00E649E1">
        <w:rPr>
          <w:rFonts w:hint="eastAsia"/>
        </w:rPr>
        <w:t>研</w:t>
      </w:r>
      <w:proofErr w:type="gramEnd"/>
      <w:r w:rsidRPr="00E649E1">
        <w:rPr>
          <w:rFonts w:hint="eastAsia"/>
        </w:rPr>
        <w:t>讀活動為中心，並納入</w:t>
      </w:r>
      <w:proofErr w:type="gramStart"/>
      <w:r w:rsidRPr="00E649E1">
        <w:rPr>
          <w:rFonts w:hint="eastAsia"/>
        </w:rPr>
        <w:t>研</w:t>
      </w:r>
      <w:proofErr w:type="gramEnd"/>
      <w:r w:rsidRPr="00E649E1">
        <w:rPr>
          <w:rFonts w:hint="eastAsia"/>
        </w:rPr>
        <w:t>讀活動的先在變項和結果變項，先在變項表課程特徵、學生特徵，而課程特徵可以在分為內在</w:t>
      </w:r>
      <w:r w:rsidRPr="00E649E1">
        <w:rPr>
          <w:rFonts w:hint="eastAsia"/>
        </w:rPr>
        <w:t>(</w:t>
      </w:r>
      <w:r w:rsidRPr="00E649E1">
        <w:rPr>
          <w:rFonts w:hint="eastAsia"/>
        </w:rPr>
        <w:t>講課、評分、標準</w:t>
      </w:r>
      <w:r w:rsidRPr="00E649E1">
        <w:rPr>
          <w:rFonts w:hint="eastAsia"/>
        </w:rPr>
        <w:t>)</w:t>
      </w:r>
      <w:r w:rsidRPr="00E649E1">
        <w:rPr>
          <w:rFonts w:hint="eastAsia"/>
        </w:rPr>
        <w:t>和外在</w:t>
      </w:r>
      <w:r w:rsidRPr="00E649E1">
        <w:rPr>
          <w:rFonts w:hint="eastAsia"/>
        </w:rPr>
        <w:t>(</w:t>
      </w:r>
      <w:r w:rsidRPr="00E649E1">
        <w:rPr>
          <w:rFonts w:hint="eastAsia"/>
        </w:rPr>
        <w:t>閱讀、作業、溫習</w:t>
      </w:r>
      <w:r w:rsidRPr="00E649E1">
        <w:rPr>
          <w:rFonts w:hint="eastAsia"/>
        </w:rPr>
        <w:t>)</w:t>
      </w:r>
      <w:r w:rsidRPr="00E649E1">
        <w:rPr>
          <w:rFonts w:hint="eastAsia"/>
        </w:rPr>
        <w:t>因素。而學生特徵則可以在分為經驗能力</w:t>
      </w:r>
      <w:r w:rsidRPr="00E649E1">
        <w:rPr>
          <w:rFonts w:hint="eastAsia"/>
        </w:rPr>
        <w:t>(</w:t>
      </w:r>
      <w:r w:rsidRPr="00E649E1">
        <w:rPr>
          <w:rFonts w:hint="eastAsia"/>
        </w:rPr>
        <w:t>學生的學術能力</w:t>
      </w:r>
      <w:r w:rsidRPr="00E649E1">
        <w:rPr>
          <w:rFonts w:hint="eastAsia"/>
        </w:rPr>
        <w:t>)</w:t>
      </w:r>
      <w:r w:rsidRPr="00E649E1">
        <w:rPr>
          <w:rFonts w:hint="eastAsia"/>
        </w:rPr>
        <w:t>與意志能力</w:t>
      </w:r>
      <w:r w:rsidRPr="00E649E1">
        <w:rPr>
          <w:rFonts w:hint="eastAsia"/>
        </w:rPr>
        <w:t>(</w:t>
      </w:r>
      <w:r w:rsidRPr="00E649E1">
        <w:rPr>
          <w:rFonts w:hint="eastAsia"/>
        </w:rPr>
        <w:t>學生的學習心向</w:t>
      </w:r>
      <w:r w:rsidRPr="00E649E1">
        <w:rPr>
          <w:rFonts w:hint="eastAsia"/>
        </w:rPr>
        <w:t>)</w:t>
      </w:r>
      <w:r w:rsidRPr="00E649E1">
        <w:rPr>
          <w:rFonts w:hint="eastAsia"/>
        </w:rPr>
        <w:t>，而結果變項則是表能力的改變</w:t>
      </w:r>
      <w:r w:rsidRPr="00E649E1">
        <w:rPr>
          <w:rFonts w:hint="eastAsia"/>
        </w:rPr>
        <w:t>(</w:t>
      </w:r>
      <w:r w:rsidRPr="00E649E1">
        <w:rPr>
          <w:rFonts w:hint="eastAsia"/>
        </w:rPr>
        <w:t>能</w:t>
      </w:r>
      <w:proofErr w:type="gramStart"/>
      <w:r w:rsidRPr="00E649E1">
        <w:rPr>
          <w:rFonts w:hint="eastAsia"/>
        </w:rPr>
        <w:t>辨識類化每個</w:t>
      </w:r>
      <w:proofErr w:type="gramEnd"/>
      <w:r w:rsidRPr="00E649E1">
        <w:rPr>
          <w:rFonts w:hint="eastAsia"/>
        </w:rPr>
        <w:t>訊息</w:t>
      </w:r>
      <w:r w:rsidRPr="00E649E1">
        <w:rPr>
          <w:rFonts w:hint="eastAsia"/>
        </w:rPr>
        <w:t>)</w:t>
      </w:r>
      <w:r w:rsidRPr="00E649E1">
        <w:rPr>
          <w:rFonts w:hint="eastAsia"/>
        </w:rPr>
        <w:t>和產品的提出</w:t>
      </w:r>
      <w:r w:rsidRPr="00E649E1">
        <w:rPr>
          <w:rFonts w:hint="eastAsia"/>
        </w:rPr>
        <w:t>(</w:t>
      </w:r>
      <w:r w:rsidRPr="00E649E1">
        <w:rPr>
          <w:rFonts w:hint="eastAsia"/>
        </w:rPr>
        <w:t>將訊息處理後再表現出來</w:t>
      </w:r>
      <w:r w:rsidRPr="00E649E1">
        <w:rPr>
          <w:rFonts w:hint="eastAsia"/>
        </w:rPr>
        <w:t>)</w:t>
      </w:r>
      <w:r w:rsidRPr="00E649E1">
        <w:rPr>
          <w:rFonts w:hint="eastAsia"/>
        </w:rPr>
        <w:t>。</w:t>
      </w:r>
    </w:p>
    <w:p w:rsidR="004B3764" w:rsidRPr="00770DBD" w:rsidRDefault="004B3764" w:rsidP="0045566E">
      <w:pPr>
        <w:rPr>
          <w:rFonts w:ascii="Times New Roman" w:eastAsia="標楷體" w:hAnsi="Times New Roman" w:cs="細明體"/>
          <w:color w:val="00B050"/>
        </w:rPr>
      </w:pPr>
      <w:r w:rsidRPr="00770DBD">
        <w:rPr>
          <w:rFonts w:ascii="Times New Roman" w:eastAsia="標楷體" w:hAnsi="Times New Roman" w:cs="細明體" w:hint="eastAsia"/>
          <w:color w:val="00B050"/>
        </w:rPr>
        <w:t>動機理論：</w:t>
      </w:r>
    </w:p>
    <w:p w:rsidR="004B3764" w:rsidRPr="00E649E1" w:rsidRDefault="004B3764" w:rsidP="00770DBD">
      <w:pPr>
        <w:pStyle w:val="41"/>
      </w:pPr>
      <w:r w:rsidRPr="00E649E1">
        <w:rPr>
          <w:rFonts w:hint="eastAsia"/>
        </w:rPr>
        <w:t>Eccles et al.(</w:t>
      </w:r>
      <w:proofErr w:type="gramStart"/>
      <w:r w:rsidRPr="00E649E1">
        <w:rPr>
          <w:rFonts w:hint="eastAsia"/>
        </w:rPr>
        <w:t>1983)</w:t>
      </w:r>
      <w:r w:rsidRPr="00E649E1">
        <w:rPr>
          <w:rFonts w:hint="eastAsia"/>
        </w:rPr>
        <w:t>修正</w:t>
      </w:r>
      <w:proofErr w:type="gramEnd"/>
      <w:r w:rsidRPr="00E649E1">
        <w:rPr>
          <w:rFonts w:hint="eastAsia"/>
        </w:rPr>
        <w:t>Atkinson(1964)</w:t>
      </w:r>
      <w:r w:rsidRPr="00E649E1">
        <w:rPr>
          <w:rFonts w:hint="eastAsia"/>
        </w:rPr>
        <w:t>所提出的價值期望理論，認為動機因素，應該包含有：自我能力的概念、對成功的期待、即對行動的主觀價值。</w:t>
      </w:r>
    </w:p>
    <w:p w:rsidR="004B3764" w:rsidRPr="00770DBD" w:rsidRDefault="004B3764" w:rsidP="0045566E">
      <w:pPr>
        <w:rPr>
          <w:rFonts w:ascii="Times New Roman" w:eastAsia="標楷體" w:hAnsi="Times New Roman" w:cs="細明體"/>
          <w:color w:val="00B050"/>
        </w:rPr>
      </w:pPr>
      <w:r w:rsidRPr="00770DBD">
        <w:rPr>
          <w:rFonts w:ascii="Times New Roman" w:eastAsia="標楷體" w:hAnsi="Times New Roman" w:cs="細明體" w:hint="eastAsia"/>
          <w:color w:val="00B050"/>
        </w:rPr>
        <w:t>資源管理</w:t>
      </w:r>
    </w:p>
    <w:p w:rsidR="004B3764" w:rsidRPr="00E649E1" w:rsidRDefault="004B3764" w:rsidP="00770DBD">
      <w:pPr>
        <w:pStyle w:val="41"/>
      </w:pPr>
      <w:proofErr w:type="spellStart"/>
      <w:r w:rsidRPr="00E649E1">
        <w:rPr>
          <w:rFonts w:hint="eastAsia"/>
        </w:rPr>
        <w:t>Mckeachie</w:t>
      </w:r>
      <w:proofErr w:type="spellEnd"/>
      <w:r w:rsidRPr="00E649E1">
        <w:rPr>
          <w:rFonts w:hint="eastAsia"/>
        </w:rPr>
        <w:t xml:space="preserve"> </w:t>
      </w:r>
      <w:proofErr w:type="gramStart"/>
      <w:r w:rsidRPr="00E649E1">
        <w:rPr>
          <w:rFonts w:hint="eastAsia"/>
        </w:rPr>
        <w:t>et al.(</w:t>
      </w:r>
      <w:proofErr w:type="gramEnd"/>
      <w:r w:rsidRPr="00E649E1">
        <w:rPr>
          <w:rFonts w:hint="eastAsia"/>
        </w:rPr>
        <w:t>1986)</w:t>
      </w:r>
      <w:r w:rsidRPr="00E649E1">
        <w:rPr>
          <w:rFonts w:hint="eastAsia"/>
        </w:rPr>
        <w:t>整理各研究學者之學習策略實証結果，認為學習策略包含資源管理，並進一步提出資源管理應包含有：時間經營、研讀環境經營、努力經營、他人支持。</w:t>
      </w:r>
    </w:p>
    <w:p w:rsidR="004B3764" w:rsidRPr="00E649E1" w:rsidRDefault="004B3764" w:rsidP="00770DBD">
      <w:pPr>
        <w:pStyle w:val="41"/>
      </w:pPr>
      <w:r w:rsidRPr="00E649E1">
        <w:rPr>
          <w:rFonts w:hint="eastAsia"/>
        </w:rPr>
        <w:t>而</w:t>
      </w:r>
      <w:proofErr w:type="spellStart"/>
      <w:r w:rsidRPr="00E649E1">
        <w:rPr>
          <w:rFonts w:hint="eastAsia"/>
        </w:rPr>
        <w:t>Pintrich</w:t>
      </w:r>
      <w:proofErr w:type="spellEnd"/>
      <w:r w:rsidRPr="00E649E1">
        <w:rPr>
          <w:rFonts w:hint="eastAsia"/>
        </w:rPr>
        <w:t xml:space="preserve"> et al.(1991)</w:t>
      </w:r>
      <w:r w:rsidRPr="00E649E1">
        <w:rPr>
          <w:rFonts w:hint="eastAsia"/>
        </w:rPr>
        <w:t>綜合了</w:t>
      </w:r>
      <w:r w:rsidRPr="00E649E1">
        <w:rPr>
          <w:rFonts w:hint="eastAsia"/>
        </w:rPr>
        <w:t>Eccles et al.(1983)</w:t>
      </w:r>
      <w:r w:rsidRPr="00E649E1">
        <w:rPr>
          <w:rFonts w:hint="eastAsia"/>
        </w:rPr>
        <w:t>、</w:t>
      </w:r>
      <w:r w:rsidRPr="00E649E1">
        <w:rPr>
          <w:rFonts w:hint="eastAsia"/>
        </w:rPr>
        <w:t>Mayer et al.(1987)</w:t>
      </w:r>
      <w:r w:rsidRPr="00E649E1">
        <w:rPr>
          <w:rFonts w:hint="eastAsia"/>
        </w:rPr>
        <w:t>、</w:t>
      </w:r>
      <w:proofErr w:type="spellStart"/>
      <w:r w:rsidRPr="00E649E1">
        <w:rPr>
          <w:rFonts w:hint="eastAsia"/>
        </w:rPr>
        <w:t>Mckeachie</w:t>
      </w:r>
      <w:proofErr w:type="spellEnd"/>
      <w:r w:rsidRPr="00E649E1">
        <w:rPr>
          <w:rFonts w:hint="eastAsia"/>
        </w:rPr>
        <w:t xml:space="preserve"> et al(1986)</w:t>
      </w:r>
      <w:r w:rsidRPr="00E649E1">
        <w:rPr>
          <w:rFonts w:hint="eastAsia"/>
        </w:rPr>
        <w:t>等人所提出對學習策略的看法，進而提出</w:t>
      </w:r>
      <w:r w:rsidRPr="00E649E1">
        <w:rPr>
          <w:rFonts w:hint="eastAsia"/>
        </w:rPr>
        <w:t>Motivated Strategies for Learning Questionnaire (MSLQ)</w:t>
      </w:r>
      <w:r w:rsidRPr="00E649E1">
        <w:rPr>
          <w:rFonts w:hint="eastAsia"/>
        </w:rPr>
        <w:t>，而此</w:t>
      </w:r>
      <w:r w:rsidRPr="00E649E1">
        <w:rPr>
          <w:rFonts w:hint="eastAsia"/>
        </w:rPr>
        <w:t>MSLQ</w:t>
      </w:r>
      <w:r w:rsidRPr="00E649E1">
        <w:rPr>
          <w:rFonts w:hint="eastAsia"/>
        </w:rPr>
        <w:t>在華人地區已被廣為使用，因此本研究也採用此問卷來進行問卷的編製。</w:t>
      </w:r>
    </w:p>
    <w:p w:rsidR="004B3764" w:rsidRPr="00770DBD" w:rsidRDefault="004B3764" w:rsidP="0045566E">
      <w:pPr>
        <w:rPr>
          <w:rFonts w:ascii="Times New Roman" w:eastAsia="標楷體" w:hAnsi="Times New Roman" w:cs="細明體"/>
          <w:color w:val="ED7D31" w:themeColor="accent2"/>
        </w:rPr>
      </w:pPr>
      <w:r w:rsidRPr="00770DBD">
        <w:rPr>
          <w:rFonts w:ascii="Times New Roman" w:eastAsia="標楷體" w:hAnsi="Times New Roman" w:cs="細明體" w:hint="eastAsia"/>
          <w:color w:val="ED7D31" w:themeColor="accent2"/>
        </w:rPr>
        <w:t>學習策略評量工具</w:t>
      </w:r>
    </w:p>
    <w:p w:rsidR="004B3764" w:rsidRPr="00E649E1" w:rsidRDefault="004B3764" w:rsidP="00770DBD">
      <w:pPr>
        <w:pStyle w:val="31"/>
        <w:spacing w:before="180" w:after="180"/>
        <w:ind w:firstLine="480"/>
      </w:pPr>
      <w:r w:rsidRPr="00E649E1">
        <w:rPr>
          <w:rFonts w:hint="eastAsia"/>
        </w:rPr>
        <w:lastRenderedPageBreak/>
        <w:t>目前的學習策略評量工具有很多種，以下列出幾個學習策略評量工具</w:t>
      </w:r>
    </w:p>
    <w:p w:rsidR="004B3764" w:rsidRPr="00770DBD" w:rsidRDefault="004B3764" w:rsidP="00770DBD">
      <w:pPr>
        <w:jc w:val="center"/>
        <w:rPr>
          <w:rFonts w:ascii="Times New Roman" w:eastAsia="標楷體" w:hAnsi="Times New Roman" w:cs="細明體"/>
          <w:color w:val="C00000"/>
          <w:sz w:val="22"/>
        </w:rPr>
      </w:pPr>
      <w:r w:rsidRPr="00770DBD">
        <w:rPr>
          <w:rFonts w:ascii="Times New Roman" w:eastAsia="標楷體" w:hAnsi="Times New Roman" w:cs="細明體" w:hint="eastAsia"/>
          <w:color w:val="C00000"/>
          <w:sz w:val="22"/>
        </w:rPr>
        <w:t>學習策略評量工具</w:t>
      </w:r>
    </w:p>
    <w:tbl>
      <w:tblPr>
        <w:tblStyle w:val="ad"/>
        <w:tblW w:w="8465" w:type="dxa"/>
        <w:jc w:val="center"/>
        <w:tblLayout w:type="fixed"/>
        <w:tblLook w:val="04A0" w:firstRow="1" w:lastRow="0" w:firstColumn="1" w:lastColumn="0" w:noHBand="0" w:noVBand="1"/>
      </w:tblPr>
      <w:tblGrid>
        <w:gridCol w:w="2869"/>
        <w:gridCol w:w="680"/>
        <w:gridCol w:w="4916"/>
      </w:tblGrid>
      <w:tr w:rsidR="00770DBD" w:rsidRPr="00FA4706" w:rsidTr="006D6F7E">
        <w:trPr>
          <w:trHeight w:val="369"/>
          <w:jc w:val="center"/>
        </w:trPr>
        <w:tc>
          <w:tcPr>
            <w:tcW w:w="2869" w:type="dxa"/>
            <w:vAlign w:val="center"/>
          </w:tcPr>
          <w:p w:rsidR="00770DBD" w:rsidRPr="00FA4706" w:rsidRDefault="00770DBD" w:rsidP="00770DBD">
            <w:pPr>
              <w:pStyle w:val="a6"/>
            </w:pPr>
            <w:r w:rsidRPr="00FA4706">
              <w:rPr>
                <w:rFonts w:hint="eastAsia"/>
              </w:rPr>
              <w:t>編製者</w:t>
            </w:r>
          </w:p>
        </w:tc>
        <w:tc>
          <w:tcPr>
            <w:tcW w:w="680" w:type="dxa"/>
            <w:vAlign w:val="center"/>
          </w:tcPr>
          <w:p w:rsidR="00770DBD" w:rsidRPr="00FA4706" w:rsidRDefault="00770DBD" w:rsidP="00770DBD">
            <w:pPr>
              <w:pStyle w:val="a6"/>
            </w:pPr>
            <w:r w:rsidRPr="00FA4706">
              <w:rPr>
                <w:rFonts w:hint="eastAsia"/>
              </w:rPr>
              <w:t>年代</w:t>
            </w:r>
          </w:p>
        </w:tc>
        <w:tc>
          <w:tcPr>
            <w:tcW w:w="4916" w:type="dxa"/>
            <w:vAlign w:val="center"/>
          </w:tcPr>
          <w:p w:rsidR="00770DBD" w:rsidRPr="00FA4706" w:rsidRDefault="00770DBD" w:rsidP="00770DBD">
            <w:pPr>
              <w:pStyle w:val="a6"/>
            </w:pPr>
            <w:r w:rsidRPr="00FA4706">
              <w:rPr>
                <w:rFonts w:hint="eastAsia"/>
              </w:rPr>
              <w:t>測驗名稱</w:t>
            </w:r>
          </w:p>
        </w:tc>
      </w:tr>
      <w:tr w:rsidR="00770DBD" w:rsidRPr="00FA4706" w:rsidTr="006D6F7E">
        <w:trPr>
          <w:trHeight w:val="329"/>
          <w:jc w:val="center"/>
        </w:trPr>
        <w:tc>
          <w:tcPr>
            <w:tcW w:w="2869" w:type="dxa"/>
            <w:vAlign w:val="center"/>
          </w:tcPr>
          <w:p w:rsidR="00770DBD" w:rsidRPr="00FA4706" w:rsidRDefault="00770DBD" w:rsidP="00770DBD">
            <w:pPr>
              <w:pStyle w:val="a4"/>
            </w:pPr>
            <w:r w:rsidRPr="00FA4706">
              <w:t>C.E. Weinstein</w:t>
            </w:r>
          </w:p>
        </w:tc>
        <w:tc>
          <w:tcPr>
            <w:tcW w:w="680" w:type="dxa"/>
            <w:vAlign w:val="center"/>
          </w:tcPr>
          <w:p w:rsidR="00770DBD" w:rsidRPr="00FA4706" w:rsidRDefault="00770DBD" w:rsidP="00770DBD">
            <w:pPr>
              <w:pStyle w:val="a4"/>
            </w:pPr>
            <w:r w:rsidRPr="00FA4706">
              <w:t>1987</w:t>
            </w:r>
          </w:p>
        </w:tc>
        <w:tc>
          <w:tcPr>
            <w:tcW w:w="4916" w:type="dxa"/>
            <w:vAlign w:val="center"/>
          </w:tcPr>
          <w:p w:rsidR="00770DBD" w:rsidRPr="00FA4706" w:rsidRDefault="00770DBD" w:rsidP="00770DBD">
            <w:pPr>
              <w:pStyle w:val="a4"/>
            </w:pPr>
            <w:r w:rsidRPr="00FA4706">
              <w:t>Learning and Study Strategies Inventory(LASSI)</w:t>
            </w:r>
          </w:p>
        </w:tc>
      </w:tr>
      <w:tr w:rsidR="00770DBD" w:rsidRPr="00FA4706" w:rsidTr="006D6F7E">
        <w:trPr>
          <w:trHeight w:val="329"/>
          <w:jc w:val="center"/>
        </w:trPr>
        <w:tc>
          <w:tcPr>
            <w:tcW w:w="2869" w:type="dxa"/>
            <w:vAlign w:val="center"/>
          </w:tcPr>
          <w:p w:rsidR="00770DBD" w:rsidRPr="00FA4706" w:rsidRDefault="00770DBD" w:rsidP="00770DBD">
            <w:pPr>
              <w:pStyle w:val="a4"/>
            </w:pPr>
            <w:r w:rsidRPr="00FA4706">
              <w:t>John Biggs</w:t>
            </w:r>
          </w:p>
        </w:tc>
        <w:tc>
          <w:tcPr>
            <w:tcW w:w="680" w:type="dxa"/>
            <w:vAlign w:val="center"/>
          </w:tcPr>
          <w:p w:rsidR="00770DBD" w:rsidRPr="00FA4706" w:rsidRDefault="00770DBD" w:rsidP="00770DBD">
            <w:pPr>
              <w:pStyle w:val="a4"/>
            </w:pPr>
            <w:r w:rsidRPr="00FA4706">
              <w:t>1987</w:t>
            </w:r>
          </w:p>
        </w:tc>
        <w:tc>
          <w:tcPr>
            <w:tcW w:w="4916" w:type="dxa"/>
            <w:vAlign w:val="center"/>
          </w:tcPr>
          <w:p w:rsidR="00770DBD" w:rsidRPr="00FA4706" w:rsidRDefault="00770DBD" w:rsidP="00770DBD">
            <w:pPr>
              <w:pStyle w:val="a4"/>
            </w:pPr>
            <w:r w:rsidRPr="00FA4706">
              <w:t>Study Process Questionnaire (SPQ)</w:t>
            </w:r>
          </w:p>
        </w:tc>
      </w:tr>
      <w:tr w:rsidR="00770DBD" w:rsidRPr="00FA4706" w:rsidTr="006D6F7E">
        <w:trPr>
          <w:trHeight w:val="658"/>
          <w:jc w:val="center"/>
        </w:trPr>
        <w:tc>
          <w:tcPr>
            <w:tcW w:w="2869" w:type="dxa"/>
            <w:vAlign w:val="center"/>
          </w:tcPr>
          <w:p w:rsidR="00770DBD" w:rsidRPr="00FA4706" w:rsidRDefault="00770DBD" w:rsidP="00770DBD">
            <w:pPr>
              <w:pStyle w:val="a4"/>
            </w:pPr>
            <w:proofErr w:type="spellStart"/>
            <w:r w:rsidRPr="00FA4706">
              <w:t>Pintrich</w:t>
            </w:r>
            <w:proofErr w:type="spellEnd"/>
            <w:r w:rsidRPr="00FA4706">
              <w:t xml:space="preserve"> , Smith, , </w:t>
            </w:r>
            <w:proofErr w:type="spellStart"/>
            <w:r w:rsidRPr="00FA4706">
              <w:t>Mckeachie</w:t>
            </w:r>
            <w:proofErr w:type="spellEnd"/>
          </w:p>
        </w:tc>
        <w:tc>
          <w:tcPr>
            <w:tcW w:w="680" w:type="dxa"/>
            <w:vAlign w:val="center"/>
          </w:tcPr>
          <w:p w:rsidR="00770DBD" w:rsidRPr="00FA4706" w:rsidRDefault="00770DBD" w:rsidP="00770DBD">
            <w:pPr>
              <w:pStyle w:val="a4"/>
            </w:pPr>
            <w:r w:rsidRPr="00FA4706">
              <w:t>1989</w:t>
            </w:r>
          </w:p>
        </w:tc>
        <w:tc>
          <w:tcPr>
            <w:tcW w:w="4916" w:type="dxa"/>
            <w:vAlign w:val="center"/>
          </w:tcPr>
          <w:p w:rsidR="00770DBD" w:rsidRPr="00FA4706" w:rsidRDefault="00770DBD" w:rsidP="00770DBD">
            <w:pPr>
              <w:pStyle w:val="a4"/>
            </w:pPr>
            <w:r w:rsidRPr="00FA4706">
              <w:t>Motivated Strategies for Learning Questionnaire (MSLQ)</w:t>
            </w:r>
          </w:p>
        </w:tc>
      </w:tr>
      <w:tr w:rsidR="00770DBD" w:rsidRPr="00FA4706" w:rsidTr="006D6F7E">
        <w:trPr>
          <w:trHeight w:val="369"/>
          <w:jc w:val="center"/>
        </w:trPr>
        <w:tc>
          <w:tcPr>
            <w:tcW w:w="2869" w:type="dxa"/>
            <w:vAlign w:val="center"/>
          </w:tcPr>
          <w:p w:rsidR="00770DBD" w:rsidRPr="00FA4706" w:rsidRDefault="00770DBD" w:rsidP="00770DBD">
            <w:pPr>
              <w:pStyle w:val="a4"/>
            </w:pPr>
            <w:r w:rsidRPr="00FA4706">
              <w:rPr>
                <w:rFonts w:hint="eastAsia"/>
              </w:rPr>
              <w:t>李詠吟、張德榮、洪寶蓮</w:t>
            </w:r>
          </w:p>
        </w:tc>
        <w:tc>
          <w:tcPr>
            <w:tcW w:w="680" w:type="dxa"/>
            <w:vAlign w:val="center"/>
          </w:tcPr>
          <w:p w:rsidR="00770DBD" w:rsidRPr="00FA4706" w:rsidRDefault="00770DBD" w:rsidP="00770DBD">
            <w:pPr>
              <w:pStyle w:val="a4"/>
            </w:pPr>
            <w:r w:rsidRPr="00FA4706">
              <w:t>1991</w:t>
            </w:r>
          </w:p>
        </w:tc>
        <w:tc>
          <w:tcPr>
            <w:tcW w:w="4916" w:type="dxa"/>
            <w:vAlign w:val="center"/>
          </w:tcPr>
          <w:p w:rsidR="00770DBD" w:rsidRPr="00FA4706" w:rsidRDefault="00770DBD" w:rsidP="00770DBD">
            <w:pPr>
              <w:pStyle w:val="a4"/>
            </w:pPr>
            <w:r w:rsidRPr="00FA4706">
              <w:rPr>
                <w:rFonts w:hint="eastAsia"/>
              </w:rPr>
              <w:t>大學生學習與讀書策略量表</w:t>
            </w:r>
          </w:p>
        </w:tc>
      </w:tr>
      <w:tr w:rsidR="00770DBD" w:rsidRPr="00FA4706" w:rsidTr="006D6F7E">
        <w:trPr>
          <w:trHeight w:val="380"/>
          <w:jc w:val="center"/>
        </w:trPr>
        <w:tc>
          <w:tcPr>
            <w:tcW w:w="2869" w:type="dxa"/>
            <w:vAlign w:val="center"/>
          </w:tcPr>
          <w:p w:rsidR="00770DBD" w:rsidRPr="00FA4706" w:rsidRDefault="00770DBD" w:rsidP="00770DBD">
            <w:pPr>
              <w:pStyle w:val="a4"/>
            </w:pPr>
            <w:r w:rsidRPr="00FA4706">
              <w:rPr>
                <w:rFonts w:hint="eastAsia"/>
              </w:rPr>
              <w:t>吳靜吉、程炳林</w:t>
            </w:r>
          </w:p>
        </w:tc>
        <w:tc>
          <w:tcPr>
            <w:tcW w:w="680" w:type="dxa"/>
            <w:vAlign w:val="center"/>
          </w:tcPr>
          <w:p w:rsidR="00770DBD" w:rsidRPr="00FA4706" w:rsidRDefault="00770DBD" w:rsidP="00770DBD">
            <w:pPr>
              <w:pStyle w:val="a4"/>
            </w:pPr>
            <w:r w:rsidRPr="00FA4706">
              <w:t>1992</w:t>
            </w:r>
          </w:p>
        </w:tc>
        <w:tc>
          <w:tcPr>
            <w:tcW w:w="4916" w:type="dxa"/>
            <w:vAlign w:val="center"/>
          </w:tcPr>
          <w:p w:rsidR="00770DBD" w:rsidRPr="00FA4706" w:rsidRDefault="00770DBD" w:rsidP="00770DBD">
            <w:pPr>
              <w:pStyle w:val="a4"/>
            </w:pPr>
            <w:r w:rsidRPr="00FA4706">
              <w:rPr>
                <w:rFonts w:hint="eastAsia"/>
              </w:rPr>
              <w:t>激勵的學習策略表</w:t>
            </w:r>
          </w:p>
        </w:tc>
      </w:tr>
      <w:tr w:rsidR="00770DBD" w:rsidRPr="00FA4706" w:rsidTr="006D6F7E">
        <w:trPr>
          <w:trHeight w:val="329"/>
          <w:jc w:val="center"/>
        </w:trPr>
        <w:tc>
          <w:tcPr>
            <w:tcW w:w="2869" w:type="dxa"/>
            <w:vAlign w:val="center"/>
          </w:tcPr>
          <w:p w:rsidR="00770DBD" w:rsidRPr="00FA4706" w:rsidRDefault="00770DBD" w:rsidP="00770DBD">
            <w:pPr>
              <w:pStyle w:val="a4"/>
            </w:pPr>
            <w:r w:rsidRPr="00FA4706">
              <w:t xml:space="preserve">Brown &amp; </w:t>
            </w:r>
            <w:proofErr w:type="spellStart"/>
            <w:r w:rsidRPr="00FA4706">
              <w:t>Myers,and</w:t>
            </w:r>
            <w:proofErr w:type="spellEnd"/>
            <w:r w:rsidRPr="00FA4706">
              <w:t xml:space="preserve"> Roy.</w:t>
            </w:r>
          </w:p>
        </w:tc>
        <w:tc>
          <w:tcPr>
            <w:tcW w:w="680" w:type="dxa"/>
            <w:vAlign w:val="center"/>
          </w:tcPr>
          <w:p w:rsidR="00770DBD" w:rsidRPr="00FA4706" w:rsidRDefault="00770DBD" w:rsidP="00770DBD">
            <w:pPr>
              <w:pStyle w:val="a4"/>
            </w:pPr>
            <w:r w:rsidRPr="00FA4706">
              <w:t>2003</w:t>
            </w:r>
          </w:p>
        </w:tc>
        <w:tc>
          <w:tcPr>
            <w:tcW w:w="4916" w:type="dxa"/>
            <w:vAlign w:val="center"/>
          </w:tcPr>
          <w:p w:rsidR="00770DBD" w:rsidRPr="00FA4706" w:rsidRDefault="00770DBD" w:rsidP="00770DBD">
            <w:pPr>
              <w:pStyle w:val="a4"/>
            </w:pPr>
            <w:r w:rsidRPr="00FA4706">
              <w:t xml:space="preserve">Goals, Activities, and </w:t>
            </w:r>
            <w:proofErr w:type="gramStart"/>
            <w:r w:rsidRPr="00FA4706">
              <w:t>Practices  surveys</w:t>
            </w:r>
            <w:proofErr w:type="gramEnd"/>
            <w:r w:rsidRPr="00FA4706">
              <w:t>. (GAPS)</w:t>
            </w:r>
          </w:p>
        </w:tc>
      </w:tr>
      <w:tr w:rsidR="00770DBD" w:rsidRPr="00FA4706" w:rsidTr="006D6F7E">
        <w:trPr>
          <w:trHeight w:val="414"/>
          <w:jc w:val="center"/>
        </w:trPr>
        <w:tc>
          <w:tcPr>
            <w:tcW w:w="2869" w:type="dxa"/>
            <w:vAlign w:val="center"/>
          </w:tcPr>
          <w:p w:rsidR="00770DBD" w:rsidRPr="00FA4706" w:rsidRDefault="00770DBD" w:rsidP="00770DBD">
            <w:pPr>
              <w:pStyle w:val="a4"/>
            </w:pPr>
            <w:proofErr w:type="spellStart"/>
            <w:r w:rsidRPr="00FA4706">
              <w:t>Oriogun</w:t>
            </w:r>
            <w:proofErr w:type="spellEnd"/>
          </w:p>
        </w:tc>
        <w:tc>
          <w:tcPr>
            <w:tcW w:w="680" w:type="dxa"/>
            <w:vAlign w:val="center"/>
          </w:tcPr>
          <w:p w:rsidR="00770DBD" w:rsidRPr="00FA4706" w:rsidRDefault="00770DBD" w:rsidP="00770DBD">
            <w:pPr>
              <w:pStyle w:val="a4"/>
            </w:pPr>
            <w:r w:rsidRPr="00FA4706">
              <w:t>2003</w:t>
            </w:r>
          </w:p>
        </w:tc>
        <w:tc>
          <w:tcPr>
            <w:tcW w:w="4916" w:type="dxa"/>
            <w:vAlign w:val="center"/>
          </w:tcPr>
          <w:p w:rsidR="00770DBD" w:rsidRPr="00FA4706" w:rsidRDefault="00770DBD" w:rsidP="00770DBD">
            <w:pPr>
              <w:pStyle w:val="a4"/>
            </w:pPr>
            <w:r w:rsidRPr="00FA4706">
              <w:t>suggestion/question/unclassified/answer/</w:t>
            </w:r>
          </w:p>
          <w:p w:rsidR="00770DBD" w:rsidRPr="00FA4706" w:rsidRDefault="00770DBD" w:rsidP="00770DBD">
            <w:pPr>
              <w:pStyle w:val="a4"/>
            </w:pPr>
            <w:r w:rsidRPr="00FA4706">
              <w:t>delivery(SQUAD)</w:t>
            </w:r>
          </w:p>
        </w:tc>
      </w:tr>
    </w:tbl>
    <w:p w:rsidR="004B3764" w:rsidRPr="00E649E1" w:rsidRDefault="004B3764" w:rsidP="00770DBD">
      <w:pPr>
        <w:pStyle w:val="a5"/>
      </w:pPr>
      <w:r w:rsidRPr="00E649E1">
        <w:rPr>
          <w:rFonts w:hint="eastAsia"/>
        </w:rPr>
        <w:t>資料來源：本研究整理</w:t>
      </w:r>
    </w:p>
    <w:p w:rsidR="004B3764" w:rsidRPr="00770DBD" w:rsidRDefault="004B3764" w:rsidP="0045566E">
      <w:pPr>
        <w:rPr>
          <w:rFonts w:ascii="Times New Roman" w:eastAsia="標楷體" w:hAnsi="Times New Roman" w:cs="細明體"/>
          <w:color w:val="FFC000"/>
        </w:rPr>
      </w:pPr>
      <w:r w:rsidRPr="00770DBD">
        <w:rPr>
          <w:rFonts w:ascii="Times New Roman" w:eastAsia="標楷體" w:hAnsi="Times New Roman" w:cs="細明體" w:hint="eastAsia"/>
          <w:color w:val="FFC000"/>
        </w:rPr>
        <w:t>學習成效</w:t>
      </w:r>
    </w:p>
    <w:p w:rsidR="004B3764" w:rsidRPr="00770DBD" w:rsidRDefault="004B3764" w:rsidP="0045566E">
      <w:pPr>
        <w:rPr>
          <w:rFonts w:ascii="Times New Roman" w:eastAsia="標楷體" w:hAnsi="Times New Roman" w:cs="細明體"/>
          <w:color w:val="ED7D31" w:themeColor="accent2"/>
        </w:rPr>
      </w:pPr>
      <w:r w:rsidRPr="00770DBD">
        <w:rPr>
          <w:rFonts w:ascii="Times New Roman" w:eastAsia="標楷體" w:hAnsi="Times New Roman" w:cs="細明體" w:hint="eastAsia"/>
          <w:color w:val="ED7D31" w:themeColor="accent2"/>
        </w:rPr>
        <w:t>定義</w:t>
      </w:r>
    </w:p>
    <w:p w:rsidR="004B3764" w:rsidRPr="00E649E1" w:rsidRDefault="004B3764" w:rsidP="00770DBD">
      <w:pPr>
        <w:pStyle w:val="31"/>
        <w:spacing w:before="180" w:after="180"/>
        <w:ind w:firstLine="480"/>
      </w:pPr>
      <w:proofErr w:type="spellStart"/>
      <w:r w:rsidRPr="00E649E1">
        <w:rPr>
          <w:rFonts w:hint="eastAsia"/>
        </w:rPr>
        <w:t>Gagn'e</w:t>
      </w:r>
      <w:proofErr w:type="spellEnd"/>
      <w:r w:rsidRPr="00E649E1">
        <w:rPr>
          <w:rFonts w:hint="eastAsia"/>
        </w:rPr>
        <w:t xml:space="preserve"> </w:t>
      </w:r>
      <w:r w:rsidRPr="00E649E1">
        <w:rPr>
          <w:rFonts w:hint="eastAsia"/>
        </w:rPr>
        <w:t>在</w:t>
      </w:r>
      <w:r w:rsidRPr="00E649E1">
        <w:rPr>
          <w:rFonts w:hint="eastAsia"/>
        </w:rPr>
        <w:t>1985</w:t>
      </w:r>
      <w:r w:rsidRPr="00E649E1">
        <w:rPr>
          <w:rFonts w:hint="eastAsia"/>
        </w:rPr>
        <w:t>提出，學習是指人的心理傾向和能力的變化，此變化要持續一段時間，而且不能把這種變化簡單地歸結於生長過程。這種內在的變化不能觀察，必須通過外在的行為，通過作業或表現的變化來推論學習的發生。</w:t>
      </w:r>
      <w:proofErr w:type="gramStart"/>
      <w:r w:rsidRPr="00E649E1">
        <w:rPr>
          <w:rFonts w:hint="eastAsia"/>
        </w:rPr>
        <w:t>鄭明韋</w:t>
      </w:r>
      <w:proofErr w:type="gramEnd"/>
      <w:r w:rsidRPr="00E649E1">
        <w:rPr>
          <w:rFonts w:hint="eastAsia"/>
        </w:rPr>
        <w:t>(1999)</w:t>
      </w:r>
      <w:r w:rsidRPr="00E649E1">
        <w:rPr>
          <w:rFonts w:hint="eastAsia"/>
        </w:rPr>
        <w:t>指出，一般所謂學習成效，即某種學習活動一段期間後，對參與學習者所進行某種型式的評量及學習活動所達成的效果。</w:t>
      </w:r>
    </w:p>
    <w:p w:rsidR="004B3764" w:rsidRPr="00770DBD" w:rsidRDefault="004B3764" w:rsidP="0045566E">
      <w:pPr>
        <w:rPr>
          <w:rFonts w:ascii="Times New Roman" w:eastAsia="標楷體" w:hAnsi="Times New Roman" w:cs="細明體"/>
          <w:color w:val="ED7D31" w:themeColor="accent2"/>
        </w:rPr>
      </w:pPr>
      <w:r w:rsidRPr="00770DBD">
        <w:rPr>
          <w:rFonts w:ascii="Times New Roman" w:eastAsia="標楷體" w:hAnsi="Times New Roman" w:cs="細明體" w:hint="eastAsia"/>
          <w:color w:val="ED7D31" w:themeColor="accent2"/>
        </w:rPr>
        <w:t>評量方式</w:t>
      </w:r>
    </w:p>
    <w:p w:rsidR="004B3764" w:rsidRPr="00E649E1" w:rsidRDefault="004B3764" w:rsidP="00770DBD">
      <w:pPr>
        <w:pStyle w:val="31"/>
        <w:spacing w:before="180" w:after="180"/>
        <w:ind w:firstLine="480"/>
      </w:pPr>
      <w:r w:rsidRPr="00E649E1">
        <w:rPr>
          <w:rFonts w:hint="eastAsia"/>
        </w:rPr>
        <w:t>學習成效可以從許多方面來衡量，</w:t>
      </w:r>
      <w:proofErr w:type="spellStart"/>
      <w:r w:rsidRPr="00E649E1">
        <w:rPr>
          <w:rFonts w:hint="eastAsia"/>
        </w:rPr>
        <w:t>Alavi</w:t>
      </w:r>
      <w:proofErr w:type="spellEnd"/>
      <w:r w:rsidRPr="00E649E1">
        <w:rPr>
          <w:rFonts w:hint="eastAsia"/>
        </w:rPr>
        <w:t xml:space="preserve">(1994), Kirk and Gallagher(1986), </w:t>
      </w:r>
      <w:proofErr w:type="spellStart"/>
      <w:r w:rsidRPr="00E649E1">
        <w:rPr>
          <w:rFonts w:hint="eastAsia"/>
        </w:rPr>
        <w:t>Schutte</w:t>
      </w:r>
      <w:proofErr w:type="spellEnd"/>
      <w:r w:rsidRPr="00E649E1">
        <w:rPr>
          <w:rFonts w:hint="eastAsia"/>
        </w:rPr>
        <w:t>(1997)</w:t>
      </w:r>
      <w:r w:rsidRPr="00E649E1">
        <w:rPr>
          <w:rFonts w:hint="eastAsia"/>
        </w:rPr>
        <w:t>指出，茲分別說明這些指標：</w:t>
      </w:r>
      <w:r w:rsidRPr="00E649E1">
        <w:rPr>
          <w:rFonts w:hint="eastAsia"/>
        </w:rPr>
        <w:t>(1)</w:t>
      </w:r>
      <w:r w:rsidRPr="00E649E1">
        <w:rPr>
          <w:rFonts w:hint="eastAsia"/>
        </w:rPr>
        <w:t>學習績效：指學習者的學習成績，包括為期中或期末的成績。</w:t>
      </w:r>
      <w:r w:rsidRPr="00E649E1">
        <w:rPr>
          <w:rFonts w:hint="eastAsia"/>
        </w:rPr>
        <w:t>(2)</w:t>
      </w:r>
      <w:r w:rsidRPr="00E649E1">
        <w:rPr>
          <w:rFonts w:hint="eastAsia"/>
        </w:rPr>
        <w:t>學習的自我評估：指學習者對於學習程度的自我衡量。此類的變數包括對內容了解程度的自我評估、各種學習技巧</w:t>
      </w:r>
      <w:r w:rsidRPr="00E649E1">
        <w:rPr>
          <w:rFonts w:hint="eastAsia"/>
        </w:rPr>
        <w:t>(</w:t>
      </w:r>
      <w:r w:rsidRPr="00E649E1">
        <w:rPr>
          <w:rFonts w:hint="eastAsia"/>
        </w:rPr>
        <w:t>例如思考、分析、整合等</w:t>
      </w:r>
      <w:r w:rsidRPr="00E649E1">
        <w:rPr>
          <w:rFonts w:hint="eastAsia"/>
        </w:rPr>
        <w:t>)</w:t>
      </w:r>
      <w:r w:rsidRPr="00E649E1">
        <w:rPr>
          <w:rFonts w:hint="eastAsia"/>
        </w:rPr>
        <w:t>發展的評估以及自我學習成果評估等。</w:t>
      </w:r>
      <w:r w:rsidRPr="00E649E1">
        <w:rPr>
          <w:rFonts w:hint="eastAsia"/>
        </w:rPr>
        <w:t>(3)</w:t>
      </w:r>
      <w:r w:rsidRPr="00E649E1">
        <w:rPr>
          <w:rFonts w:hint="eastAsia"/>
        </w:rPr>
        <w:t>學習興趣：指學習者對於學習內容的興趣。</w:t>
      </w:r>
      <w:r w:rsidRPr="00E649E1">
        <w:rPr>
          <w:rFonts w:hint="eastAsia"/>
        </w:rPr>
        <w:t>(4)</w:t>
      </w:r>
      <w:r w:rsidRPr="00E649E1">
        <w:rPr>
          <w:rFonts w:hint="eastAsia"/>
        </w:rPr>
        <w:t>業表現：指學習者在學習單或作業簿的工作表現，由教師於作業完成後，給予等級或分數以評定優劣。</w:t>
      </w:r>
      <w:r w:rsidRPr="00E649E1">
        <w:rPr>
          <w:rFonts w:hint="eastAsia"/>
        </w:rPr>
        <w:t>(5)</w:t>
      </w:r>
      <w:r w:rsidRPr="00E649E1">
        <w:rPr>
          <w:rFonts w:hint="eastAsia"/>
        </w:rPr>
        <w:t>習者的態度：指學習者對於學習的動機、興趣和滿意度等。</w:t>
      </w:r>
    </w:p>
    <w:p w:rsidR="004B3764" w:rsidRPr="00E649E1" w:rsidRDefault="004B3764" w:rsidP="00770DBD">
      <w:pPr>
        <w:pStyle w:val="31"/>
        <w:spacing w:before="180" w:after="180"/>
        <w:ind w:firstLine="480"/>
      </w:pPr>
      <w:r w:rsidRPr="00E649E1">
        <w:rPr>
          <w:rFonts w:hint="eastAsia"/>
        </w:rPr>
        <w:lastRenderedPageBreak/>
        <w:t>依據上述這些衡量學習成效的指標，本研究將採用學習績效作為本研究所探討的學習成效內涵。所以把學習成效指標以總學習成績作為其學習成效指標的評量機制。</w:t>
      </w:r>
    </w:p>
    <w:p w:rsidR="004B3764" w:rsidRPr="00770DBD" w:rsidRDefault="004B3764" w:rsidP="0045566E">
      <w:pPr>
        <w:rPr>
          <w:rFonts w:ascii="Times New Roman" w:eastAsia="標楷體" w:hAnsi="Times New Roman" w:cs="細明體"/>
          <w:color w:val="ED7D31" w:themeColor="accent2"/>
        </w:rPr>
      </w:pPr>
      <w:r w:rsidRPr="00770DBD">
        <w:rPr>
          <w:rFonts w:ascii="Times New Roman" w:eastAsia="標楷體" w:hAnsi="Times New Roman" w:cs="細明體" w:hint="eastAsia"/>
          <w:color w:val="ED7D31" w:themeColor="accent2"/>
        </w:rPr>
        <w:t>學習成效相關文獻</w:t>
      </w:r>
    </w:p>
    <w:p w:rsidR="004B3764" w:rsidRPr="00770DBD" w:rsidRDefault="004B3764" w:rsidP="00770DBD">
      <w:pPr>
        <w:jc w:val="center"/>
        <w:rPr>
          <w:rFonts w:ascii="Times New Roman" w:eastAsia="標楷體" w:hAnsi="Times New Roman" w:cs="細明體"/>
          <w:color w:val="C00000"/>
          <w:sz w:val="22"/>
        </w:rPr>
      </w:pPr>
      <w:r w:rsidRPr="00770DBD">
        <w:rPr>
          <w:rFonts w:ascii="Times New Roman" w:eastAsia="標楷體" w:hAnsi="Times New Roman" w:cs="細明體" w:hint="eastAsia"/>
          <w:color w:val="C00000"/>
          <w:sz w:val="22"/>
        </w:rPr>
        <w:t>學習成效相關文獻表</w:t>
      </w:r>
    </w:p>
    <w:tbl>
      <w:tblPr>
        <w:tblStyle w:val="ad"/>
        <w:tblW w:w="0" w:type="auto"/>
        <w:jc w:val="center"/>
        <w:tblLook w:val="04A0" w:firstRow="1" w:lastRow="0" w:firstColumn="1" w:lastColumn="0" w:noHBand="0" w:noVBand="1"/>
      </w:tblPr>
      <w:tblGrid>
        <w:gridCol w:w="839"/>
        <w:gridCol w:w="703"/>
        <w:gridCol w:w="6702"/>
      </w:tblGrid>
      <w:tr w:rsidR="00770DBD" w:rsidRPr="00B94572" w:rsidTr="006D6F7E">
        <w:trPr>
          <w:trHeight w:val="448"/>
          <w:jc w:val="center"/>
        </w:trPr>
        <w:tc>
          <w:tcPr>
            <w:tcW w:w="839" w:type="dxa"/>
            <w:vAlign w:val="center"/>
          </w:tcPr>
          <w:p w:rsidR="00770DBD" w:rsidRPr="00B94572" w:rsidRDefault="00770DBD" w:rsidP="00770DBD">
            <w:pPr>
              <w:pStyle w:val="a6"/>
            </w:pPr>
            <w:r w:rsidRPr="00B94572">
              <w:rPr>
                <w:rFonts w:hint="eastAsia"/>
              </w:rPr>
              <w:t>研究者</w:t>
            </w:r>
          </w:p>
        </w:tc>
        <w:tc>
          <w:tcPr>
            <w:tcW w:w="703" w:type="dxa"/>
            <w:vAlign w:val="center"/>
          </w:tcPr>
          <w:p w:rsidR="00770DBD" w:rsidRPr="00B94572" w:rsidRDefault="00770DBD" w:rsidP="00770DBD">
            <w:pPr>
              <w:pStyle w:val="a6"/>
            </w:pPr>
            <w:r w:rsidRPr="00B94572">
              <w:rPr>
                <w:rFonts w:hint="eastAsia"/>
              </w:rPr>
              <w:t>年代</w:t>
            </w:r>
          </w:p>
        </w:tc>
        <w:tc>
          <w:tcPr>
            <w:tcW w:w="6702" w:type="dxa"/>
            <w:vAlign w:val="center"/>
          </w:tcPr>
          <w:p w:rsidR="00770DBD" w:rsidRPr="00B94572" w:rsidRDefault="00770DBD" w:rsidP="00770DBD">
            <w:pPr>
              <w:pStyle w:val="a6"/>
            </w:pPr>
            <w:r w:rsidRPr="00B94572">
              <w:rPr>
                <w:rFonts w:hint="eastAsia"/>
              </w:rPr>
              <w:t>研究結果</w:t>
            </w:r>
          </w:p>
        </w:tc>
      </w:tr>
      <w:tr w:rsidR="00770DBD" w:rsidRPr="00B94572" w:rsidTr="006D6F7E">
        <w:trPr>
          <w:trHeight w:val="448"/>
          <w:jc w:val="center"/>
        </w:trPr>
        <w:tc>
          <w:tcPr>
            <w:tcW w:w="839" w:type="dxa"/>
            <w:vAlign w:val="center"/>
          </w:tcPr>
          <w:p w:rsidR="00770DBD" w:rsidRPr="00B94572" w:rsidRDefault="00770DBD" w:rsidP="00770DBD">
            <w:pPr>
              <w:pStyle w:val="a4"/>
            </w:pPr>
            <w:r w:rsidRPr="00B94572">
              <w:rPr>
                <w:rFonts w:hint="eastAsia"/>
              </w:rPr>
              <w:t>洪寶蓮</w:t>
            </w:r>
          </w:p>
        </w:tc>
        <w:tc>
          <w:tcPr>
            <w:tcW w:w="703" w:type="dxa"/>
            <w:vAlign w:val="center"/>
          </w:tcPr>
          <w:p w:rsidR="00770DBD" w:rsidRPr="00B94572" w:rsidRDefault="00770DBD" w:rsidP="00770DBD">
            <w:pPr>
              <w:pStyle w:val="a4"/>
            </w:pPr>
            <w:r w:rsidRPr="00B94572">
              <w:t>1990</w:t>
            </w:r>
          </w:p>
        </w:tc>
        <w:tc>
          <w:tcPr>
            <w:tcW w:w="6702" w:type="dxa"/>
            <w:vAlign w:val="center"/>
          </w:tcPr>
          <w:p w:rsidR="00770DBD" w:rsidRPr="00B94572" w:rsidRDefault="00770DBD" w:rsidP="00770DBD">
            <w:pPr>
              <w:pStyle w:val="a4"/>
            </w:pPr>
            <w:r w:rsidRPr="00B94572">
              <w:rPr>
                <w:rFonts w:hint="eastAsia"/>
              </w:rPr>
              <w:t>學習策略與學習成效有正相關</w:t>
            </w:r>
          </w:p>
        </w:tc>
      </w:tr>
      <w:tr w:rsidR="00770DBD" w:rsidRPr="00B94572" w:rsidTr="006D6F7E">
        <w:trPr>
          <w:trHeight w:val="448"/>
          <w:jc w:val="center"/>
        </w:trPr>
        <w:tc>
          <w:tcPr>
            <w:tcW w:w="839" w:type="dxa"/>
            <w:vAlign w:val="center"/>
          </w:tcPr>
          <w:p w:rsidR="00770DBD" w:rsidRPr="00B94572" w:rsidRDefault="00770DBD" w:rsidP="00770DBD">
            <w:pPr>
              <w:pStyle w:val="a4"/>
            </w:pPr>
            <w:r w:rsidRPr="00B94572">
              <w:rPr>
                <w:rFonts w:hint="eastAsia"/>
              </w:rPr>
              <w:t>盧青延</w:t>
            </w:r>
          </w:p>
        </w:tc>
        <w:tc>
          <w:tcPr>
            <w:tcW w:w="703" w:type="dxa"/>
            <w:vAlign w:val="center"/>
          </w:tcPr>
          <w:p w:rsidR="00770DBD" w:rsidRPr="00B94572" w:rsidRDefault="00770DBD" w:rsidP="00770DBD">
            <w:pPr>
              <w:pStyle w:val="a4"/>
            </w:pPr>
            <w:r w:rsidRPr="00B94572">
              <w:t>1993</w:t>
            </w:r>
          </w:p>
        </w:tc>
        <w:tc>
          <w:tcPr>
            <w:tcW w:w="6702" w:type="dxa"/>
            <w:vAlign w:val="center"/>
          </w:tcPr>
          <w:p w:rsidR="00770DBD" w:rsidRPr="00B94572" w:rsidRDefault="00770DBD" w:rsidP="00770DBD">
            <w:pPr>
              <w:pStyle w:val="a4"/>
            </w:pPr>
            <w:r w:rsidRPr="00B94572">
              <w:rPr>
                <w:rFonts w:hint="eastAsia"/>
              </w:rPr>
              <w:t>國中補校生學習策略的運用因性別、教育背景、年級、年齡的不同而有顯著差異</w:t>
            </w:r>
          </w:p>
        </w:tc>
      </w:tr>
      <w:tr w:rsidR="00770DBD" w:rsidRPr="00B94572" w:rsidTr="006D6F7E">
        <w:trPr>
          <w:trHeight w:val="448"/>
          <w:jc w:val="center"/>
        </w:trPr>
        <w:tc>
          <w:tcPr>
            <w:tcW w:w="839" w:type="dxa"/>
            <w:vAlign w:val="center"/>
          </w:tcPr>
          <w:p w:rsidR="00770DBD" w:rsidRPr="00B94572" w:rsidRDefault="00770DBD" w:rsidP="00770DBD">
            <w:pPr>
              <w:pStyle w:val="a4"/>
            </w:pPr>
            <w:r w:rsidRPr="00B94572">
              <w:rPr>
                <w:rFonts w:hint="eastAsia"/>
              </w:rPr>
              <w:t>郭郁智</w:t>
            </w:r>
          </w:p>
        </w:tc>
        <w:tc>
          <w:tcPr>
            <w:tcW w:w="703" w:type="dxa"/>
            <w:vAlign w:val="center"/>
          </w:tcPr>
          <w:p w:rsidR="00770DBD" w:rsidRPr="00B94572" w:rsidRDefault="00770DBD" w:rsidP="00770DBD">
            <w:pPr>
              <w:pStyle w:val="a4"/>
            </w:pPr>
            <w:r w:rsidRPr="00B94572">
              <w:t>2000</w:t>
            </w:r>
          </w:p>
        </w:tc>
        <w:tc>
          <w:tcPr>
            <w:tcW w:w="6702" w:type="dxa"/>
            <w:vAlign w:val="center"/>
          </w:tcPr>
          <w:p w:rsidR="00770DBD" w:rsidRPr="00B94572" w:rsidRDefault="00770DBD" w:rsidP="00770DBD">
            <w:pPr>
              <w:pStyle w:val="a4"/>
            </w:pPr>
            <w:r w:rsidRPr="00B94572">
              <w:rPr>
                <w:rFonts w:hint="eastAsia"/>
              </w:rPr>
              <w:t>學業成效與個人背景不同有所差異；學習策略與成效有正相關</w:t>
            </w:r>
          </w:p>
        </w:tc>
      </w:tr>
      <w:tr w:rsidR="00770DBD" w:rsidRPr="00B94572" w:rsidTr="006D6F7E">
        <w:trPr>
          <w:trHeight w:val="448"/>
          <w:jc w:val="center"/>
        </w:trPr>
        <w:tc>
          <w:tcPr>
            <w:tcW w:w="839" w:type="dxa"/>
            <w:vAlign w:val="center"/>
          </w:tcPr>
          <w:p w:rsidR="00770DBD" w:rsidRPr="00B94572" w:rsidRDefault="00770DBD" w:rsidP="00770DBD">
            <w:pPr>
              <w:pStyle w:val="a4"/>
            </w:pPr>
            <w:r w:rsidRPr="00B94572">
              <w:rPr>
                <w:rFonts w:hint="eastAsia"/>
              </w:rPr>
              <w:t>李國楨</w:t>
            </w:r>
          </w:p>
        </w:tc>
        <w:tc>
          <w:tcPr>
            <w:tcW w:w="703" w:type="dxa"/>
            <w:vAlign w:val="center"/>
          </w:tcPr>
          <w:p w:rsidR="00770DBD" w:rsidRPr="00B94572" w:rsidRDefault="00770DBD" w:rsidP="00770DBD">
            <w:pPr>
              <w:pStyle w:val="a4"/>
            </w:pPr>
            <w:r w:rsidRPr="00B94572">
              <w:t>2001</w:t>
            </w:r>
          </w:p>
        </w:tc>
        <w:tc>
          <w:tcPr>
            <w:tcW w:w="6702" w:type="dxa"/>
            <w:vAlign w:val="center"/>
          </w:tcPr>
          <w:p w:rsidR="00770DBD" w:rsidRPr="00B94572" w:rsidRDefault="00770DBD" w:rsidP="00770DBD">
            <w:pPr>
              <w:pStyle w:val="a4"/>
            </w:pPr>
            <w:r w:rsidRPr="00B94572">
              <w:rPr>
                <w:rFonts w:hint="eastAsia"/>
              </w:rPr>
              <w:t>學業成效與個人背景不同而有差異；學習策略可以預測學業成效</w:t>
            </w:r>
          </w:p>
        </w:tc>
      </w:tr>
      <w:tr w:rsidR="00770DBD" w:rsidRPr="00B94572" w:rsidTr="006D6F7E">
        <w:trPr>
          <w:trHeight w:val="448"/>
          <w:jc w:val="center"/>
        </w:trPr>
        <w:tc>
          <w:tcPr>
            <w:tcW w:w="839" w:type="dxa"/>
            <w:vAlign w:val="center"/>
          </w:tcPr>
          <w:p w:rsidR="00770DBD" w:rsidRPr="00B94572" w:rsidRDefault="00770DBD" w:rsidP="00770DBD">
            <w:pPr>
              <w:pStyle w:val="a4"/>
            </w:pPr>
            <w:r w:rsidRPr="00B94572">
              <w:rPr>
                <w:rFonts w:hint="eastAsia"/>
              </w:rPr>
              <w:t>黃淑娟</w:t>
            </w:r>
          </w:p>
        </w:tc>
        <w:tc>
          <w:tcPr>
            <w:tcW w:w="703" w:type="dxa"/>
            <w:vAlign w:val="center"/>
          </w:tcPr>
          <w:p w:rsidR="00770DBD" w:rsidRPr="00B94572" w:rsidRDefault="00770DBD" w:rsidP="00770DBD">
            <w:pPr>
              <w:pStyle w:val="a4"/>
            </w:pPr>
            <w:r w:rsidRPr="00B94572">
              <w:t>2003</w:t>
            </w:r>
          </w:p>
        </w:tc>
        <w:tc>
          <w:tcPr>
            <w:tcW w:w="6702" w:type="dxa"/>
            <w:vAlign w:val="center"/>
          </w:tcPr>
          <w:p w:rsidR="00770DBD" w:rsidRPr="00B94572" w:rsidRDefault="00770DBD" w:rsidP="00770DBD">
            <w:pPr>
              <w:pStyle w:val="a4"/>
            </w:pPr>
            <w:r w:rsidRPr="00B94572">
              <w:rPr>
                <w:rFonts w:hint="eastAsia"/>
              </w:rPr>
              <w:t>不同性別、地區、族群原住民國中生在學習策略上有顯著差異</w:t>
            </w:r>
          </w:p>
        </w:tc>
      </w:tr>
    </w:tbl>
    <w:p w:rsidR="004B3764" w:rsidRPr="00E649E1" w:rsidRDefault="004B3764" w:rsidP="00770DBD">
      <w:pPr>
        <w:pStyle w:val="a4"/>
      </w:pPr>
      <w:r w:rsidRPr="00E649E1">
        <w:rPr>
          <w:rFonts w:hint="eastAsia"/>
        </w:rPr>
        <w:t>資料來源：本研究整理</w:t>
      </w:r>
    </w:p>
    <w:p w:rsidR="004B3764" w:rsidRPr="00E649E1" w:rsidRDefault="004B3764" w:rsidP="00770DBD">
      <w:pPr>
        <w:pStyle w:val="31"/>
        <w:spacing w:before="180" w:after="180"/>
        <w:ind w:firstLine="480"/>
      </w:pPr>
      <w:r w:rsidRPr="00E649E1">
        <w:rPr>
          <w:rFonts w:hint="eastAsia"/>
        </w:rPr>
        <w:t>由以上得知：個人背景、學習策略和學習成效三者</w:t>
      </w:r>
      <w:proofErr w:type="gramStart"/>
      <w:r w:rsidRPr="00E649E1">
        <w:rPr>
          <w:rFonts w:hint="eastAsia"/>
        </w:rPr>
        <w:t>間均有相關性</w:t>
      </w:r>
      <w:proofErr w:type="gramEnd"/>
      <w:r w:rsidRPr="00E649E1">
        <w:rPr>
          <w:rFonts w:hint="eastAsia"/>
        </w:rPr>
        <w:t>，但這也只是對於一般生而言，而本研究將用此方法應用於聽障生，去探討聽障生在個人背景、學習策略和學習成效三</w:t>
      </w:r>
      <w:proofErr w:type="gramStart"/>
      <w:r w:rsidRPr="00E649E1">
        <w:rPr>
          <w:rFonts w:hint="eastAsia"/>
        </w:rPr>
        <w:t>者間的相關性</w:t>
      </w:r>
      <w:proofErr w:type="gramEnd"/>
      <w:r w:rsidRPr="00E649E1">
        <w:rPr>
          <w:rFonts w:hint="eastAsia"/>
        </w:rPr>
        <w:t>。</w:t>
      </w:r>
    </w:p>
    <w:p w:rsidR="004B3764" w:rsidRPr="00770DBD" w:rsidRDefault="004B3764" w:rsidP="00770DBD">
      <w:pPr>
        <w:jc w:val="center"/>
        <w:rPr>
          <w:rFonts w:ascii="Times New Roman" w:eastAsia="標楷體" w:hAnsi="Times New Roman" w:cs="細明體"/>
          <w:b/>
          <w:color w:val="7030A0"/>
          <w:sz w:val="40"/>
        </w:rPr>
      </w:pPr>
      <w:r w:rsidRPr="00770DBD">
        <w:rPr>
          <w:rFonts w:ascii="Times New Roman" w:eastAsia="標楷體" w:hAnsi="Times New Roman" w:cs="細明體" w:hint="eastAsia"/>
          <w:b/>
          <w:color w:val="7030A0"/>
          <w:sz w:val="40"/>
        </w:rPr>
        <w:t>參考文獻</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proofErr w:type="spellStart"/>
      <w:r w:rsidRPr="005C4505">
        <w:rPr>
          <w:rFonts w:ascii="Times New Roman" w:eastAsia="標楷體" w:hAnsi="Times New Roman" w:cs="細明體" w:hint="eastAsia"/>
        </w:rPr>
        <w:t>Alavi</w:t>
      </w:r>
      <w:proofErr w:type="spellEnd"/>
      <w:r w:rsidRPr="005C4505">
        <w:rPr>
          <w:rFonts w:ascii="Times New Roman" w:eastAsia="標楷體" w:hAnsi="Times New Roman" w:cs="細明體" w:hint="eastAsia"/>
        </w:rPr>
        <w:t xml:space="preserve">, M. (1994). Computer-mediated collaborative learning: An empirical evaluation. </w:t>
      </w:r>
      <w:r w:rsidRPr="00BB60BE">
        <w:rPr>
          <w:rFonts w:ascii="Times New Roman" w:eastAsia="標楷體" w:hAnsi="Times New Roman" w:cs="細明體" w:hint="eastAsia"/>
          <w:i/>
        </w:rPr>
        <w:t>MIS Quarterly</w:t>
      </w:r>
      <w:r w:rsidRPr="005C4505">
        <w:rPr>
          <w:rFonts w:ascii="Times New Roman" w:eastAsia="標楷體" w:hAnsi="Times New Roman" w:cs="細明體" w:hint="eastAsia"/>
        </w:rPr>
        <w:t>,</w:t>
      </w:r>
      <w:r w:rsidRPr="00BB60BE">
        <w:rPr>
          <w:rFonts w:ascii="Times New Roman" w:eastAsia="標楷體" w:hAnsi="Times New Roman" w:cs="細明體" w:hint="eastAsia"/>
          <w:i/>
        </w:rPr>
        <w:t xml:space="preserve"> 18</w:t>
      </w:r>
      <w:r w:rsidRPr="005C4505">
        <w:rPr>
          <w:rFonts w:ascii="Times New Roman" w:eastAsia="標楷體" w:hAnsi="Times New Roman" w:cs="細明體" w:hint="eastAsia"/>
        </w:rPr>
        <w:t xml:space="preserve">(2), 159-174. </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 xml:space="preserve">Biggs, J. B. (1987). Australian Council for Educational Research. </w:t>
      </w:r>
      <w:r w:rsidRPr="00BB60BE">
        <w:rPr>
          <w:rFonts w:ascii="Times New Roman" w:eastAsia="標楷體" w:hAnsi="Times New Roman" w:cs="細明體" w:hint="eastAsia"/>
          <w:i/>
        </w:rPr>
        <w:t xml:space="preserve">Student approaches to learning and </w:t>
      </w:r>
      <w:proofErr w:type="gramStart"/>
      <w:r w:rsidRPr="00BB60BE">
        <w:rPr>
          <w:rFonts w:ascii="Times New Roman" w:eastAsia="標楷體" w:hAnsi="Times New Roman" w:cs="細明體" w:hint="eastAsia"/>
          <w:i/>
        </w:rPr>
        <w:t>studying</w:t>
      </w:r>
      <w:r w:rsidRPr="005C4505">
        <w:rPr>
          <w:rFonts w:ascii="Times New Roman" w:eastAsia="標楷體" w:hAnsi="Times New Roman" w:cs="細明體" w:hint="eastAsia"/>
        </w:rPr>
        <w:t xml:space="preserve">  Australian</w:t>
      </w:r>
      <w:proofErr w:type="gramEnd"/>
      <w:r w:rsidRPr="005C4505">
        <w:rPr>
          <w:rFonts w:ascii="Times New Roman" w:eastAsia="標楷體" w:hAnsi="Times New Roman" w:cs="細明體" w:hint="eastAsia"/>
        </w:rPr>
        <w:t xml:space="preserve"> Council for Educational Research</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 xml:space="preserve">Bricker, D. D. (1980). </w:t>
      </w:r>
      <w:r w:rsidRPr="00BB60BE">
        <w:rPr>
          <w:rFonts w:ascii="Times New Roman" w:eastAsia="標楷體" w:hAnsi="Times New Roman" w:cs="細明體" w:hint="eastAsia"/>
          <w:i/>
        </w:rPr>
        <w:t>Language intervention with children.</w:t>
      </w:r>
      <w:r w:rsidRPr="005C4505">
        <w:rPr>
          <w:rFonts w:ascii="Times New Roman" w:eastAsia="標楷體" w:hAnsi="Times New Roman" w:cs="細明體" w:hint="eastAsia"/>
        </w:rPr>
        <w:t xml:space="preserve"> San Francisco (433 California St., San Francisco 94104): </w:t>
      </w:r>
      <w:proofErr w:type="spellStart"/>
      <w:r w:rsidRPr="005C4505">
        <w:rPr>
          <w:rFonts w:ascii="Times New Roman" w:eastAsia="標楷體" w:hAnsi="Times New Roman" w:cs="細明體" w:hint="eastAsia"/>
        </w:rPr>
        <w:t>Jossey</w:t>
      </w:r>
      <w:proofErr w:type="spellEnd"/>
      <w:r w:rsidRPr="005C4505">
        <w:rPr>
          <w:rFonts w:ascii="Times New Roman" w:eastAsia="標楷體" w:hAnsi="Times New Roman" w:cs="細明體" w:hint="eastAsia"/>
        </w:rPr>
        <w:t>-Bass.</w:t>
      </w:r>
    </w:p>
    <w:p w:rsidR="004B3764" w:rsidRPr="00571B95" w:rsidRDefault="004B3764" w:rsidP="005C4505">
      <w:pPr>
        <w:pStyle w:val="HTML"/>
        <w:numPr>
          <w:ilvl w:val="0"/>
          <w:numId w:val="12"/>
        </w:numPr>
        <w:spacing w:line="360" w:lineRule="auto"/>
        <w:ind w:left="142" w:hangingChars="59" w:hanging="142"/>
        <w:jc w:val="both"/>
        <w:rPr>
          <w:rFonts w:ascii="Times New Roman" w:eastAsia="標楷體" w:hAnsi="Times New Roman"/>
        </w:rPr>
      </w:pPr>
      <w:r w:rsidRPr="00571B95">
        <w:rPr>
          <w:rFonts w:ascii="Times New Roman" w:eastAsia="標楷體" w:hAnsi="Times New Roman" w:hint="eastAsia"/>
        </w:rPr>
        <w:t xml:space="preserve">Brown G., Myers C., and Roy S., (2003) Formal course design and </w:t>
      </w:r>
      <w:proofErr w:type="spellStart"/>
      <w:r w:rsidRPr="00571B95">
        <w:rPr>
          <w:rFonts w:ascii="Times New Roman" w:eastAsia="標楷體" w:hAnsi="Times New Roman" w:hint="eastAsia"/>
        </w:rPr>
        <w:t>thestudent</w:t>
      </w:r>
      <w:proofErr w:type="spellEnd"/>
      <w:r w:rsidRPr="00571B95">
        <w:rPr>
          <w:rFonts w:ascii="Times New Roman" w:eastAsia="標楷體" w:hAnsi="Times New Roman" w:hint="eastAsia"/>
        </w:rPr>
        <w:t xml:space="preserve"> learning experience. </w:t>
      </w:r>
      <w:r w:rsidRPr="00BB60BE">
        <w:rPr>
          <w:rFonts w:ascii="Times New Roman" w:eastAsia="標楷體" w:hAnsi="Times New Roman" w:hint="eastAsia"/>
          <w:i/>
        </w:rPr>
        <w:t>Journal of Asynchronous Learning Networks</w:t>
      </w:r>
      <w:r w:rsidRPr="00571B95">
        <w:rPr>
          <w:rFonts w:ascii="Times New Roman" w:eastAsia="標楷體" w:hAnsi="Times New Roman" w:hint="eastAsia"/>
        </w:rPr>
        <w:t xml:space="preserve"> 7(3).</w:t>
      </w:r>
    </w:p>
    <w:p w:rsidR="004B3764" w:rsidRPr="00571B95" w:rsidRDefault="004B3764" w:rsidP="005C4505">
      <w:pPr>
        <w:pStyle w:val="HTML"/>
        <w:numPr>
          <w:ilvl w:val="0"/>
          <w:numId w:val="12"/>
        </w:numPr>
        <w:spacing w:line="360" w:lineRule="auto"/>
        <w:ind w:left="142" w:hangingChars="59" w:hanging="142"/>
        <w:jc w:val="both"/>
        <w:rPr>
          <w:rFonts w:ascii="Times New Roman" w:eastAsia="標楷體" w:hAnsi="Times New Roman"/>
        </w:rPr>
      </w:pPr>
      <w:r w:rsidRPr="00571B95">
        <w:rPr>
          <w:rFonts w:ascii="Times New Roman" w:eastAsia="標楷體" w:hAnsi="Times New Roman" w:hint="eastAsia"/>
        </w:rPr>
        <w:t xml:space="preserve">Eccles J., Expectancies (1983). value &amp; academic </w:t>
      </w:r>
      <w:proofErr w:type="spellStart"/>
      <w:r w:rsidRPr="00571B95">
        <w:rPr>
          <w:rFonts w:ascii="Times New Roman" w:eastAsia="標楷體" w:hAnsi="Times New Roman" w:hint="eastAsia"/>
        </w:rPr>
        <w:t>behavirors</w:t>
      </w:r>
      <w:proofErr w:type="spellEnd"/>
      <w:r w:rsidRPr="00571B95">
        <w:rPr>
          <w:rFonts w:ascii="Times New Roman" w:eastAsia="標楷體" w:hAnsi="Times New Roman" w:hint="eastAsia"/>
        </w:rPr>
        <w:t xml:space="preserve">. In J. T. Spence (Ed.), </w:t>
      </w:r>
      <w:r w:rsidRPr="00BB60BE">
        <w:rPr>
          <w:rFonts w:ascii="Times New Roman" w:eastAsia="標楷體" w:hAnsi="Times New Roman" w:hint="eastAsia"/>
          <w:i/>
        </w:rPr>
        <w:t>Achievement and achievement motives</w:t>
      </w:r>
      <w:r w:rsidRPr="00571B95">
        <w:rPr>
          <w:rFonts w:ascii="Times New Roman" w:eastAsia="標楷體" w:hAnsi="Times New Roman" w:hint="eastAsia"/>
        </w:rPr>
        <w:t xml:space="preserve">, San Francisco: Freeman (pp. 75-146). </w:t>
      </w:r>
    </w:p>
    <w:p w:rsidR="004B3764" w:rsidRPr="00571B95" w:rsidRDefault="004B3764" w:rsidP="005C4505">
      <w:pPr>
        <w:pStyle w:val="HTML"/>
        <w:numPr>
          <w:ilvl w:val="0"/>
          <w:numId w:val="12"/>
        </w:numPr>
        <w:spacing w:line="360" w:lineRule="auto"/>
        <w:ind w:left="142" w:hangingChars="59" w:hanging="142"/>
        <w:jc w:val="both"/>
        <w:rPr>
          <w:rFonts w:ascii="Times New Roman" w:eastAsia="標楷體" w:hAnsi="Times New Roman"/>
        </w:rPr>
      </w:pPr>
      <w:proofErr w:type="spellStart"/>
      <w:r w:rsidRPr="00571B95">
        <w:rPr>
          <w:rFonts w:ascii="Times New Roman" w:eastAsia="標楷體" w:hAnsi="Times New Roman" w:hint="eastAsia"/>
        </w:rPr>
        <w:lastRenderedPageBreak/>
        <w:t>Flavell</w:t>
      </w:r>
      <w:proofErr w:type="spellEnd"/>
      <w:r w:rsidRPr="00571B95">
        <w:rPr>
          <w:rFonts w:ascii="Times New Roman" w:eastAsia="標楷體" w:hAnsi="Times New Roman" w:hint="eastAsia"/>
        </w:rPr>
        <w:t xml:space="preserve"> J. H. (1981). Cognitive monitoring. In W. P. Dickson, (Ed.), </w:t>
      </w:r>
      <w:r w:rsidRPr="00BB60BE">
        <w:rPr>
          <w:rFonts w:ascii="Times New Roman" w:eastAsia="標楷體" w:hAnsi="Times New Roman" w:hint="eastAsia"/>
          <w:i/>
        </w:rPr>
        <w:t>Children</w:t>
      </w:r>
      <w:r w:rsidR="00BB60BE" w:rsidRPr="00BB60BE">
        <w:rPr>
          <w:rFonts w:ascii="Times New Roman" w:eastAsia="標楷體" w:hAnsi="Times New Roman"/>
          <w:i/>
        </w:rPr>
        <w:t>’</w:t>
      </w:r>
      <w:r w:rsidRPr="00BB60BE">
        <w:rPr>
          <w:rFonts w:ascii="Times New Roman" w:eastAsia="標楷體" w:hAnsi="Times New Roman" w:hint="eastAsia"/>
          <w:i/>
        </w:rPr>
        <w:t>s oral communication skills</w:t>
      </w:r>
      <w:r w:rsidRPr="00571B95">
        <w:rPr>
          <w:rFonts w:ascii="Times New Roman" w:eastAsia="標楷體" w:hAnsi="Times New Roman" w:hint="eastAsia"/>
        </w:rPr>
        <w:t>, New York: Academic Press, p35-60.</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Gagn</w:t>
      </w:r>
      <w:r w:rsidR="00571B95" w:rsidRPr="005C4505">
        <w:rPr>
          <w:rFonts w:ascii="Times New Roman" w:eastAsia="標楷體" w:hAnsi="Times New Roman" w:cs="細明體" w:hint="eastAsia"/>
        </w:rPr>
        <w:t>e</w:t>
      </w:r>
      <w:r w:rsidRPr="005C4505">
        <w:rPr>
          <w:rFonts w:ascii="Times New Roman" w:eastAsia="標楷體" w:hAnsi="Times New Roman" w:cs="細明體" w:hint="eastAsia"/>
        </w:rPr>
        <w:t xml:space="preserve">, R. M. (1985). </w:t>
      </w:r>
      <w:r w:rsidRPr="00BB60BE">
        <w:rPr>
          <w:rFonts w:ascii="Times New Roman" w:eastAsia="標楷體" w:hAnsi="Times New Roman" w:cs="細明體" w:hint="eastAsia"/>
          <w:i/>
        </w:rPr>
        <w:t>The conditions of learning and theory of instruction</w:t>
      </w:r>
      <w:r w:rsidRPr="005C4505">
        <w:rPr>
          <w:rFonts w:ascii="Times New Roman" w:eastAsia="標楷體" w:hAnsi="Times New Roman" w:cs="細明體" w:hint="eastAsia"/>
        </w:rPr>
        <w:t xml:space="preserve"> (4th ed.). Montreal: Holt, Rinehart and Winston.</w:t>
      </w:r>
    </w:p>
    <w:p w:rsidR="004B3764" w:rsidRPr="005C4505" w:rsidRDefault="004B3764" w:rsidP="005C4505">
      <w:pPr>
        <w:pStyle w:val="ae"/>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 xml:space="preserve">Kirk A. S. &amp; Gallagher J.J. (1986). </w:t>
      </w:r>
      <w:r w:rsidRPr="00BB60BE">
        <w:rPr>
          <w:rFonts w:ascii="Times New Roman" w:eastAsia="標楷體" w:hAnsi="Times New Roman" w:cs="細明體" w:hint="eastAsia"/>
          <w:i/>
        </w:rPr>
        <w:t xml:space="preserve">Education exceptional </w:t>
      </w:r>
      <w:proofErr w:type="gramStart"/>
      <w:r w:rsidRPr="00BB60BE">
        <w:rPr>
          <w:rFonts w:ascii="Times New Roman" w:eastAsia="標楷體" w:hAnsi="Times New Roman" w:cs="細明體" w:hint="eastAsia"/>
          <w:i/>
        </w:rPr>
        <w:t>children</w:t>
      </w:r>
      <w:r w:rsidRPr="005C4505">
        <w:rPr>
          <w:rFonts w:ascii="Times New Roman" w:eastAsia="標楷體" w:hAnsi="Times New Roman" w:cs="細明體" w:hint="eastAsia"/>
        </w:rPr>
        <w:t>.(</w:t>
      </w:r>
      <w:proofErr w:type="gramEnd"/>
      <w:r w:rsidRPr="005C4505">
        <w:rPr>
          <w:rFonts w:ascii="Times New Roman" w:eastAsia="標楷體" w:hAnsi="Times New Roman" w:cs="細明體" w:hint="eastAsia"/>
        </w:rPr>
        <w:t xml:space="preserve">3rd ed.). Boston: </w:t>
      </w:r>
      <w:proofErr w:type="spellStart"/>
      <w:r w:rsidRPr="005C4505">
        <w:rPr>
          <w:rFonts w:ascii="Times New Roman" w:eastAsia="標楷體" w:hAnsi="Times New Roman" w:cs="細明體" w:hint="eastAsia"/>
        </w:rPr>
        <w:t>Houghtom</w:t>
      </w:r>
      <w:proofErr w:type="spellEnd"/>
      <w:r w:rsidRPr="005C4505">
        <w:rPr>
          <w:rFonts w:ascii="Times New Roman" w:eastAsia="標楷體" w:hAnsi="Times New Roman" w:cs="細明體" w:hint="eastAsia"/>
        </w:rPr>
        <w:t xml:space="preserve"> Mifflin.</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 xml:space="preserve">Mayer, R. E. (1987). </w:t>
      </w:r>
      <w:r w:rsidRPr="00BB60BE">
        <w:rPr>
          <w:rFonts w:ascii="Times New Roman" w:eastAsia="標楷體" w:hAnsi="Times New Roman" w:cs="細明體" w:hint="eastAsia"/>
          <w:i/>
        </w:rPr>
        <w:t>Educational psychology: A cognitive approach</w:t>
      </w:r>
      <w:r w:rsidRPr="005C4505">
        <w:rPr>
          <w:rFonts w:ascii="Times New Roman" w:eastAsia="標楷體" w:hAnsi="Times New Roman" w:cs="細明體" w:hint="eastAsia"/>
        </w:rPr>
        <w:t xml:space="preserve"> Little, Brown. </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proofErr w:type="spellStart"/>
      <w:r w:rsidRPr="005C4505">
        <w:rPr>
          <w:rFonts w:ascii="Times New Roman" w:eastAsia="標楷體" w:hAnsi="Times New Roman" w:cs="細明體" w:hint="eastAsia"/>
        </w:rPr>
        <w:t>McKeachie</w:t>
      </w:r>
      <w:proofErr w:type="spellEnd"/>
      <w:r w:rsidRPr="005C4505">
        <w:rPr>
          <w:rFonts w:ascii="Times New Roman" w:eastAsia="標楷體" w:hAnsi="Times New Roman" w:cs="細明體" w:hint="eastAsia"/>
        </w:rPr>
        <w:t xml:space="preserve">, Wilbert James, National Center for Research to Improve Postsecondary Teaching and </w:t>
      </w:r>
      <w:proofErr w:type="spellStart"/>
      <w:r w:rsidRPr="005C4505">
        <w:rPr>
          <w:rFonts w:ascii="Times New Roman" w:eastAsia="標楷體" w:hAnsi="Times New Roman" w:cs="細明體" w:hint="eastAsia"/>
        </w:rPr>
        <w:t>Learning</w:t>
      </w:r>
      <w:proofErr w:type="gramStart"/>
      <w:r w:rsidRPr="005C4505">
        <w:rPr>
          <w:rFonts w:ascii="Times New Roman" w:eastAsia="標楷體" w:hAnsi="Times New Roman" w:cs="細明體" w:hint="eastAsia"/>
        </w:rPr>
        <w:t>.,Program</w:t>
      </w:r>
      <w:proofErr w:type="spellEnd"/>
      <w:proofErr w:type="gramEnd"/>
      <w:r w:rsidRPr="005C4505">
        <w:rPr>
          <w:rFonts w:ascii="Times New Roman" w:eastAsia="標楷體" w:hAnsi="Times New Roman" w:cs="細明體" w:hint="eastAsia"/>
        </w:rPr>
        <w:t xml:space="preserve"> on Instructional Processes and Educational Outcomes.,. (1986). </w:t>
      </w:r>
      <w:r w:rsidRPr="00BB60BE">
        <w:rPr>
          <w:rFonts w:ascii="Times New Roman" w:eastAsia="標楷體" w:hAnsi="Times New Roman" w:cs="細明體" w:hint="eastAsia"/>
          <w:i/>
        </w:rPr>
        <w:t>Teaching and learning in the college classroom: A review of the research literature</w:t>
      </w:r>
      <w:r w:rsidRPr="005C4505">
        <w:rPr>
          <w:rFonts w:ascii="Times New Roman" w:eastAsia="標楷體" w:hAnsi="Times New Roman" w:cs="細明體" w:hint="eastAsia"/>
        </w:rPr>
        <w:t>. Ann Arbor, Mich.: University of Michigan.</w:t>
      </w:r>
    </w:p>
    <w:p w:rsidR="004B3764" w:rsidRPr="00571B95" w:rsidRDefault="004B3764" w:rsidP="005C4505">
      <w:pPr>
        <w:pStyle w:val="HTML"/>
        <w:numPr>
          <w:ilvl w:val="0"/>
          <w:numId w:val="12"/>
        </w:numPr>
        <w:spacing w:line="360" w:lineRule="auto"/>
        <w:ind w:left="142" w:hangingChars="59" w:hanging="142"/>
        <w:jc w:val="both"/>
        <w:rPr>
          <w:rFonts w:ascii="Times New Roman" w:eastAsia="標楷體" w:hAnsi="Times New Roman"/>
        </w:rPr>
      </w:pPr>
      <w:proofErr w:type="spellStart"/>
      <w:r w:rsidRPr="00571B95">
        <w:rPr>
          <w:rFonts w:ascii="Times New Roman" w:eastAsia="標楷體" w:hAnsi="Times New Roman" w:hint="eastAsia"/>
        </w:rPr>
        <w:t>Moores</w:t>
      </w:r>
      <w:proofErr w:type="spellEnd"/>
      <w:r w:rsidRPr="00571B95">
        <w:rPr>
          <w:rFonts w:ascii="Times New Roman" w:eastAsia="標楷體" w:hAnsi="Times New Roman" w:hint="eastAsia"/>
        </w:rPr>
        <w:t xml:space="preserve"> J., &amp; </w:t>
      </w:r>
      <w:proofErr w:type="spellStart"/>
      <w:r w:rsidRPr="00571B95">
        <w:rPr>
          <w:rFonts w:ascii="Times New Roman" w:eastAsia="標楷體" w:hAnsi="Times New Roman" w:hint="eastAsia"/>
        </w:rPr>
        <w:t>Moores</w:t>
      </w:r>
      <w:proofErr w:type="spellEnd"/>
      <w:r w:rsidRPr="00571B95">
        <w:rPr>
          <w:rFonts w:ascii="Times New Roman" w:eastAsia="標楷體" w:hAnsi="Times New Roman" w:hint="eastAsia"/>
        </w:rPr>
        <w:t xml:space="preserve"> D. (1982). Language training with the young deaf child. In D. Bricker (Ed.), </w:t>
      </w:r>
      <w:r w:rsidRPr="00BB60BE">
        <w:rPr>
          <w:rFonts w:ascii="Times New Roman" w:eastAsia="標楷體" w:hAnsi="Times New Roman" w:hint="eastAsia"/>
          <w:i/>
        </w:rPr>
        <w:t xml:space="preserve">Language </w:t>
      </w:r>
      <w:proofErr w:type="spellStart"/>
      <w:r w:rsidRPr="00BB60BE">
        <w:rPr>
          <w:rFonts w:ascii="Times New Roman" w:eastAsia="標楷體" w:hAnsi="Times New Roman" w:hint="eastAsia"/>
          <w:i/>
        </w:rPr>
        <w:t>internation</w:t>
      </w:r>
      <w:proofErr w:type="spellEnd"/>
      <w:r w:rsidRPr="00BB60BE">
        <w:rPr>
          <w:rFonts w:ascii="Times New Roman" w:eastAsia="標楷體" w:hAnsi="Times New Roman" w:hint="eastAsia"/>
          <w:i/>
        </w:rPr>
        <w:t xml:space="preserve"> with children</w:t>
      </w:r>
      <w:r w:rsidRPr="00571B95">
        <w:rPr>
          <w:rFonts w:ascii="Times New Roman" w:eastAsia="標楷體" w:hAnsi="Times New Roman" w:hint="eastAsia"/>
        </w:rPr>
        <w:t xml:space="preserve">. San </w:t>
      </w:r>
      <w:proofErr w:type="spellStart"/>
      <w:proofErr w:type="gramStart"/>
      <w:r w:rsidRPr="00571B95">
        <w:rPr>
          <w:rFonts w:ascii="Times New Roman" w:eastAsia="標楷體" w:hAnsi="Times New Roman" w:hint="eastAsia"/>
        </w:rPr>
        <w:t>Francisco:jossey</w:t>
      </w:r>
      <w:proofErr w:type="gramEnd"/>
      <w:r w:rsidRPr="00571B95">
        <w:rPr>
          <w:rFonts w:ascii="Times New Roman" w:eastAsia="標楷體" w:hAnsi="Times New Roman" w:hint="eastAsia"/>
        </w:rPr>
        <w:t>-Bass</w:t>
      </w:r>
      <w:proofErr w:type="spellEnd"/>
      <w:r w:rsidRPr="00571B95">
        <w:rPr>
          <w:rFonts w:ascii="Times New Roman" w:eastAsia="標楷體" w:hAnsi="Times New Roman" w:hint="eastAsia"/>
        </w:rPr>
        <w:t xml:space="preserve"> (</w:t>
      </w:r>
      <w:proofErr w:type="spellStart"/>
      <w:r w:rsidRPr="00571B95">
        <w:rPr>
          <w:rFonts w:ascii="Times New Roman" w:eastAsia="標楷體" w:hAnsi="Times New Roman" w:hint="eastAsia"/>
        </w:rPr>
        <w:t>vol</w:t>
      </w:r>
      <w:proofErr w:type="spellEnd"/>
      <w:r w:rsidRPr="00571B95">
        <w:rPr>
          <w:rFonts w:ascii="Times New Roman" w:eastAsia="標楷體" w:hAnsi="Times New Roman" w:hint="eastAsia"/>
        </w:rPr>
        <w:t xml:space="preserve"> 2 ) </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proofErr w:type="spellStart"/>
      <w:r w:rsidRPr="005C4505">
        <w:rPr>
          <w:rFonts w:ascii="Times New Roman" w:eastAsia="標楷體" w:hAnsi="Times New Roman" w:cs="細明體" w:hint="eastAsia"/>
        </w:rPr>
        <w:t>Oriogun</w:t>
      </w:r>
      <w:proofErr w:type="spellEnd"/>
      <w:r w:rsidRPr="005C4505">
        <w:rPr>
          <w:rFonts w:ascii="Times New Roman" w:eastAsia="標楷體" w:hAnsi="Times New Roman" w:cs="細明體" w:hint="eastAsia"/>
        </w:rPr>
        <w:t xml:space="preserve">, P. K. (2003-09). Towards understanding online learning levels of engagement using the SQUAD approach to CMC discourse. </w:t>
      </w:r>
      <w:r w:rsidRPr="00BB60BE">
        <w:rPr>
          <w:rFonts w:ascii="Times New Roman" w:eastAsia="標楷體" w:hAnsi="Times New Roman" w:cs="細明體" w:hint="eastAsia"/>
          <w:i/>
        </w:rPr>
        <w:t>Australian Journal of Educational Technology</w:t>
      </w:r>
      <w:r w:rsidRPr="005C4505">
        <w:rPr>
          <w:rFonts w:ascii="Times New Roman" w:eastAsia="標楷體" w:hAnsi="Times New Roman" w:cs="細明體" w:hint="eastAsia"/>
        </w:rPr>
        <w:t xml:space="preserve">, 19(3), 371-387. </w:t>
      </w:r>
    </w:p>
    <w:p w:rsidR="004B3764" w:rsidRPr="00565A54"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kern w:val="0"/>
        </w:rPr>
      </w:pPr>
      <w:proofErr w:type="spellStart"/>
      <w:r w:rsidRPr="00565A54">
        <w:rPr>
          <w:rFonts w:ascii="Times New Roman" w:eastAsia="標楷體" w:hAnsi="Times New Roman" w:cs="細明體" w:hint="eastAsia"/>
          <w:kern w:val="0"/>
        </w:rPr>
        <w:t>Pintrich</w:t>
      </w:r>
      <w:proofErr w:type="spellEnd"/>
      <w:r w:rsidRPr="00565A54">
        <w:rPr>
          <w:rFonts w:ascii="Times New Roman" w:eastAsia="標楷體" w:hAnsi="Times New Roman" w:cs="細明體" w:hint="eastAsia"/>
          <w:kern w:val="0"/>
        </w:rPr>
        <w:t>, Paul R., Educational Reso</w:t>
      </w:r>
      <w:r w:rsidR="00565A54" w:rsidRPr="00565A54">
        <w:rPr>
          <w:rFonts w:ascii="Times New Roman" w:eastAsia="標楷體" w:hAnsi="Times New Roman" w:cs="細明體" w:hint="eastAsia"/>
          <w:kern w:val="0"/>
        </w:rPr>
        <w:t>urces Information Center (U.S.</w:t>
      </w:r>
      <w:proofErr w:type="gramStart"/>
      <w:r w:rsidR="00565A54" w:rsidRPr="00565A54">
        <w:rPr>
          <w:rFonts w:ascii="Times New Roman" w:eastAsia="標楷體" w:hAnsi="Times New Roman" w:cs="細明體" w:hint="eastAsia"/>
          <w:kern w:val="0"/>
        </w:rPr>
        <w:t>),</w:t>
      </w:r>
      <w:r w:rsidRPr="00565A54">
        <w:rPr>
          <w:rFonts w:ascii="Times New Roman" w:eastAsia="標楷體" w:hAnsi="Times New Roman" w:cs="細明體" w:hint="eastAsia"/>
          <w:kern w:val="0"/>
        </w:rPr>
        <w:t>.</w:t>
      </w:r>
      <w:proofErr w:type="gramEnd"/>
      <w:r w:rsidRPr="00565A54">
        <w:rPr>
          <w:rFonts w:ascii="Times New Roman" w:eastAsia="標楷體" w:hAnsi="Times New Roman" w:cs="細明體" w:hint="eastAsia"/>
          <w:kern w:val="0"/>
        </w:rPr>
        <w:t xml:space="preserve"> (1991). </w:t>
      </w:r>
      <w:r w:rsidRPr="00565A54">
        <w:rPr>
          <w:rFonts w:ascii="Times New Roman" w:eastAsia="標楷體" w:hAnsi="Times New Roman" w:cs="細明體" w:hint="eastAsia"/>
          <w:i/>
          <w:kern w:val="0"/>
        </w:rPr>
        <w:t>A manual for the use of the motivated strategies for learning questionnaire (MSLQ)</w:t>
      </w:r>
      <w:r w:rsidRPr="00565A54">
        <w:rPr>
          <w:rFonts w:ascii="Times New Roman" w:eastAsia="標楷體" w:hAnsi="Times New Roman" w:cs="細明體" w:hint="eastAsia"/>
          <w:kern w:val="0"/>
        </w:rPr>
        <w:t>. Ann Arbor, Mich.; [Washington, DC]: University of Michigan; U.S. Dept. of Education, Office of Educational Research and Improvement, Educational Resources Information Center.</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proofErr w:type="spellStart"/>
      <w:r w:rsidRPr="005C4505">
        <w:rPr>
          <w:rFonts w:ascii="Times New Roman" w:eastAsia="標楷體" w:hAnsi="Times New Roman" w:cs="細明體" w:hint="eastAsia"/>
        </w:rPr>
        <w:t>Schutte</w:t>
      </w:r>
      <w:proofErr w:type="spellEnd"/>
      <w:r w:rsidRPr="005C4505">
        <w:rPr>
          <w:rFonts w:ascii="Times New Roman" w:eastAsia="標楷體" w:hAnsi="Times New Roman" w:cs="細明體" w:hint="eastAsia"/>
        </w:rPr>
        <w:t xml:space="preserve">, J. G. (1997). Virtual teaching in higher education: </w:t>
      </w:r>
      <w:r w:rsidRPr="00BB60BE">
        <w:rPr>
          <w:rFonts w:ascii="Times New Roman" w:eastAsia="標楷體" w:hAnsi="Times New Roman" w:cs="細明體" w:hint="eastAsia"/>
          <w:i/>
        </w:rPr>
        <w:t>The new intellectual superhighway or just another traffic jam</w:t>
      </w:r>
      <w:r w:rsidRPr="005C4505">
        <w:rPr>
          <w:rFonts w:ascii="Times New Roman" w:eastAsia="標楷體" w:hAnsi="Times New Roman" w:cs="細明體" w:hint="eastAsia"/>
        </w:rPr>
        <w:t xml:space="preserve">. CA: California State </w:t>
      </w:r>
      <w:proofErr w:type="spellStart"/>
      <w:r w:rsidRPr="005C4505">
        <w:rPr>
          <w:rFonts w:ascii="Times New Roman" w:eastAsia="標楷體" w:hAnsi="Times New Roman" w:cs="細明體" w:hint="eastAsia"/>
        </w:rPr>
        <w:t>Univerity</w:t>
      </w:r>
      <w:proofErr w:type="spellEnd"/>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 xml:space="preserve">Thomas, J. W., &amp; </w:t>
      </w:r>
      <w:proofErr w:type="spellStart"/>
      <w:r w:rsidRPr="005C4505">
        <w:rPr>
          <w:rFonts w:ascii="Times New Roman" w:eastAsia="標楷體" w:hAnsi="Times New Roman" w:cs="細明體" w:hint="eastAsia"/>
        </w:rPr>
        <w:t>Rohwer</w:t>
      </w:r>
      <w:proofErr w:type="spellEnd"/>
      <w:r w:rsidRPr="005C4505">
        <w:rPr>
          <w:rFonts w:ascii="Times New Roman" w:eastAsia="標楷體" w:hAnsi="Times New Roman" w:cs="細明體" w:hint="eastAsia"/>
        </w:rPr>
        <w:t xml:space="preserve"> Jr., W. D. (1986). Academic studying: The role of learning strategies. </w:t>
      </w:r>
      <w:r w:rsidRPr="00BB60BE">
        <w:rPr>
          <w:rFonts w:ascii="Times New Roman" w:eastAsia="標楷體" w:hAnsi="Times New Roman" w:cs="細明體" w:hint="eastAsia"/>
          <w:i/>
        </w:rPr>
        <w:t>Educational Psychologist</w:t>
      </w:r>
      <w:r w:rsidRPr="005C4505">
        <w:rPr>
          <w:rFonts w:ascii="Times New Roman" w:eastAsia="標楷體" w:hAnsi="Times New Roman" w:cs="細明體" w:hint="eastAsia"/>
        </w:rPr>
        <w:t xml:space="preserve">, 21(1-2), 19-41. </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lastRenderedPageBreak/>
        <w:t xml:space="preserve">Vernon, M., &amp; </w:t>
      </w:r>
      <w:proofErr w:type="spellStart"/>
      <w:r w:rsidRPr="005C4505">
        <w:rPr>
          <w:rFonts w:ascii="Times New Roman" w:eastAsia="標楷體" w:hAnsi="Times New Roman" w:cs="細明體" w:hint="eastAsia"/>
        </w:rPr>
        <w:t>Koh</w:t>
      </w:r>
      <w:proofErr w:type="spellEnd"/>
      <w:r w:rsidRPr="005C4505">
        <w:rPr>
          <w:rFonts w:ascii="Times New Roman" w:eastAsia="標楷體" w:hAnsi="Times New Roman" w:cs="細明體" w:hint="eastAsia"/>
        </w:rPr>
        <w:t xml:space="preserve">, S. D. (1970). Early manual communication and deaf children's achievement. </w:t>
      </w:r>
      <w:r w:rsidRPr="00BB60BE">
        <w:rPr>
          <w:rFonts w:ascii="Times New Roman" w:eastAsia="標楷體" w:hAnsi="Times New Roman" w:cs="細明體" w:hint="eastAsia"/>
          <w:i/>
        </w:rPr>
        <w:t>American Annals of the Deaf, 115</w:t>
      </w:r>
      <w:r w:rsidRPr="005C4505">
        <w:rPr>
          <w:rFonts w:ascii="Times New Roman" w:eastAsia="標楷體" w:hAnsi="Times New Roman" w:cs="細明體" w:hint="eastAsia"/>
        </w:rPr>
        <w:t xml:space="preserve">(5), 527-536. </w:t>
      </w:r>
    </w:p>
    <w:p w:rsidR="004B3764" w:rsidRPr="005C4505" w:rsidRDefault="004B3764" w:rsidP="005C4505">
      <w:pPr>
        <w:pStyle w:val="ae"/>
        <w:widowControl/>
        <w:numPr>
          <w:ilvl w:val="0"/>
          <w:numId w:val="12"/>
        </w:numPr>
        <w:topLinePunct/>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 xml:space="preserve">Weinstein C. F. &amp; Mayer R. F. (1986). </w:t>
      </w:r>
      <w:r w:rsidRPr="00BB60BE">
        <w:rPr>
          <w:rFonts w:ascii="Times New Roman" w:eastAsia="標楷體" w:hAnsi="Times New Roman" w:cs="細明體" w:hint="eastAsia"/>
          <w:i/>
        </w:rPr>
        <w:t>The teaching of learning strategies, In Handbook of Research on Teaching</w:t>
      </w:r>
      <w:r w:rsidRPr="005C4505">
        <w:rPr>
          <w:rFonts w:ascii="Times New Roman" w:eastAsia="標楷體" w:hAnsi="Times New Roman" w:cs="細明體" w:hint="eastAsia"/>
        </w:rPr>
        <w:t>, M. C. Wittrock (Ed.), Macmillan: N.Y., pp.315-327</w:t>
      </w:r>
    </w:p>
    <w:p w:rsidR="004B3764" w:rsidRPr="005C4505" w:rsidRDefault="004B3764" w:rsidP="005C4505">
      <w:pPr>
        <w:pStyle w:val="ae"/>
        <w:widowControl/>
        <w:numPr>
          <w:ilvl w:val="0"/>
          <w:numId w:val="12"/>
        </w:numPr>
        <w:topLinePunct/>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 xml:space="preserve">Weinstein C. F. (1987), </w:t>
      </w:r>
      <w:r w:rsidRPr="00BB60BE">
        <w:rPr>
          <w:rFonts w:ascii="Times New Roman" w:eastAsia="標楷體" w:hAnsi="Times New Roman" w:cs="細明體" w:hint="eastAsia"/>
          <w:i/>
        </w:rPr>
        <w:t>Learning and Study Strategies Inventory (LASSI) user</w:t>
      </w:r>
      <w:r w:rsidRPr="00BB60BE">
        <w:rPr>
          <w:rFonts w:ascii="Times New Roman" w:eastAsia="標楷體" w:hAnsi="Times New Roman" w:cs="細明體" w:hint="eastAsia"/>
          <w:i/>
        </w:rPr>
        <w:t>’</w:t>
      </w:r>
      <w:r w:rsidRPr="00BB60BE">
        <w:rPr>
          <w:rFonts w:ascii="Times New Roman" w:eastAsia="標楷體" w:hAnsi="Times New Roman" w:cs="細明體" w:hint="eastAsia"/>
          <w:i/>
        </w:rPr>
        <w:t>s manual</w:t>
      </w:r>
      <w:r w:rsidRPr="005C4505">
        <w:rPr>
          <w:rFonts w:ascii="Times New Roman" w:eastAsia="標楷體" w:hAnsi="Times New Roman" w:cs="細明體" w:hint="eastAsia"/>
        </w:rPr>
        <w:t>. Department of Educational Psychology University of Texas at Austin.</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王振德</w:t>
      </w:r>
      <w:r w:rsidRPr="005C4505">
        <w:rPr>
          <w:rFonts w:ascii="Times New Roman" w:eastAsia="標楷體" w:hAnsi="Times New Roman" w:cs="細明體" w:hint="eastAsia"/>
        </w:rPr>
        <w:t xml:space="preserve"> (1996) </w:t>
      </w:r>
      <w:r w:rsidRPr="00BB60BE">
        <w:rPr>
          <w:rFonts w:ascii="Times New Roman" w:eastAsia="標楷體" w:hAnsi="Times New Roman" w:cs="細明體" w:hint="eastAsia"/>
          <w:i/>
        </w:rPr>
        <w:t>學習困難的診斷與補救教學</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載於黃政傑主編：個別化教學法</w:t>
      </w:r>
      <w:r w:rsidRPr="005C4505">
        <w:rPr>
          <w:rFonts w:ascii="Times New Roman" w:eastAsia="標楷體" w:hAnsi="Times New Roman" w:cs="細明體" w:hint="eastAsia"/>
        </w:rPr>
        <w:t>.</w:t>
      </w:r>
      <w:r w:rsidRPr="005C4505">
        <w:rPr>
          <w:rFonts w:ascii="Times New Roman" w:eastAsia="標楷體" w:hAnsi="Times New Roman" w:cs="細明體" w:hint="eastAsia"/>
        </w:rPr>
        <w:t>台北</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師大書苑</w:t>
      </w:r>
      <w:r w:rsidRPr="005C4505">
        <w:rPr>
          <w:rFonts w:ascii="Times New Roman" w:eastAsia="標楷體" w:hAnsi="Times New Roman" w:cs="細明體" w:hint="eastAsia"/>
        </w:rPr>
        <w:t>.</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吳靜吉</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程炳林</w:t>
      </w:r>
      <w:r w:rsidRPr="005C4505">
        <w:rPr>
          <w:rFonts w:ascii="Times New Roman" w:eastAsia="標楷體" w:hAnsi="Times New Roman" w:cs="細明體" w:hint="eastAsia"/>
        </w:rPr>
        <w:t xml:space="preserve">(1992). </w:t>
      </w:r>
      <w:r w:rsidRPr="005C4505">
        <w:rPr>
          <w:rFonts w:ascii="Times New Roman" w:eastAsia="標楷體" w:hAnsi="Times New Roman" w:cs="細明體" w:hint="eastAsia"/>
        </w:rPr>
        <w:t>激勵的學習策略量表之修訂</w:t>
      </w:r>
      <w:r w:rsidRPr="005C4505">
        <w:rPr>
          <w:rFonts w:ascii="Times New Roman" w:eastAsia="標楷體" w:hAnsi="Times New Roman" w:cs="細明體" w:hint="eastAsia"/>
        </w:rPr>
        <w:t xml:space="preserve">. </w:t>
      </w:r>
      <w:r w:rsidRPr="00BB60BE">
        <w:rPr>
          <w:rFonts w:ascii="Times New Roman" w:eastAsia="標楷體" w:hAnsi="Times New Roman" w:cs="細明體" w:hint="eastAsia"/>
          <w:i/>
        </w:rPr>
        <w:t>測驗年刊</w:t>
      </w:r>
      <w:r w:rsidRPr="005C4505">
        <w:rPr>
          <w:rFonts w:ascii="Times New Roman" w:eastAsia="標楷體" w:hAnsi="Times New Roman" w:cs="細明體" w:hint="eastAsia"/>
        </w:rPr>
        <w:t xml:space="preserve">, (39), 59-78. </w:t>
      </w:r>
    </w:p>
    <w:p w:rsidR="004B3764" w:rsidRPr="00BB60BE"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color w:val="0070C0"/>
        </w:rPr>
      </w:pPr>
      <w:r w:rsidRPr="00BB60BE">
        <w:rPr>
          <w:rFonts w:ascii="Times New Roman" w:eastAsia="標楷體" w:hAnsi="Times New Roman" w:cs="細明體" w:hint="eastAsia"/>
          <w:color w:val="0070C0"/>
        </w:rPr>
        <w:t>吳靜吉</w:t>
      </w:r>
      <w:r w:rsidRPr="00BB60BE">
        <w:rPr>
          <w:rFonts w:ascii="Times New Roman" w:eastAsia="標楷體" w:hAnsi="Times New Roman" w:cs="細明體" w:hint="eastAsia"/>
          <w:color w:val="0070C0"/>
        </w:rPr>
        <w:t xml:space="preserve"> </w:t>
      </w:r>
      <w:r w:rsidRPr="00BB60BE">
        <w:rPr>
          <w:rFonts w:ascii="Times New Roman" w:eastAsia="標楷體" w:hAnsi="Times New Roman" w:cs="細明體" w:hint="eastAsia"/>
          <w:color w:val="0070C0"/>
        </w:rPr>
        <w:t>程炳林</w:t>
      </w:r>
      <w:r w:rsidR="00463BE1">
        <w:rPr>
          <w:rFonts w:ascii="Times New Roman" w:eastAsia="標楷體" w:hAnsi="Times New Roman" w:cs="細明體" w:hint="eastAsia"/>
          <w:color w:val="0070C0"/>
        </w:rPr>
        <w:t>.</w:t>
      </w:r>
      <w:r w:rsidR="00463BE1">
        <w:rPr>
          <w:rFonts w:ascii="Times New Roman" w:eastAsia="標楷體" w:hAnsi="Times New Roman" w:cs="細明體"/>
          <w:color w:val="0070C0"/>
        </w:rPr>
        <w:t xml:space="preserve"> </w:t>
      </w:r>
      <w:r w:rsidRPr="00BB60BE">
        <w:rPr>
          <w:rFonts w:ascii="Times New Roman" w:eastAsia="標楷體" w:hAnsi="Times New Roman" w:cs="細明體" w:hint="eastAsia"/>
          <w:color w:val="0070C0"/>
        </w:rPr>
        <w:t xml:space="preserve">(1993). </w:t>
      </w:r>
      <w:r w:rsidRPr="00BB60BE">
        <w:rPr>
          <w:rFonts w:ascii="Times New Roman" w:eastAsia="標楷體" w:hAnsi="Times New Roman" w:cs="細明體" w:hint="eastAsia"/>
          <w:color w:val="0070C0"/>
        </w:rPr>
        <w:t>國民中小學生學習動機、學習策略與學業成績之相關研究</w:t>
      </w:r>
      <w:r w:rsidRPr="00BB60BE">
        <w:rPr>
          <w:rFonts w:ascii="Times New Roman" w:eastAsia="標楷體" w:hAnsi="Times New Roman" w:cs="細明體" w:hint="eastAsia"/>
          <w:color w:val="0070C0"/>
        </w:rPr>
        <w:t xml:space="preserve">. </w:t>
      </w:r>
      <w:r w:rsidRPr="00BB60BE">
        <w:rPr>
          <w:rFonts w:ascii="Times New Roman" w:eastAsia="標楷體" w:hAnsi="Times New Roman" w:cs="細明體" w:hint="eastAsia"/>
          <w:i/>
          <w:color w:val="0070C0"/>
        </w:rPr>
        <w:t>國立政治大學學報</w:t>
      </w:r>
      <w:r w:rsidRPr="00BB60BE">
        <w:rPr>
          <w:rFonts w:ascii="Times New Roman" w:eastAsia="標楷體" w:hAnsi="Times New Roman" w:cs="細明體" w:hint="eastAsia"/>
          <w:color w:val="0070C0"/>
        </w:rPr>
        <w:t>(V.66 part 1),</w:t>
      </w:r>
      <w:r w:rsidR="00463BE1">
        <w:rPr>
          <w:rFonts w:ascii="Times New Roman" w:eastAsia="標楷體" w:hAnsi="Times New Roman" w:cs="細明體"/>
          <w:color w:val="0070C0"/>
        </w:rPr>
        <w:t xml:space="preserve"> </w:t>
      </w:r>
      <w:r w:rsidR="00463BE1">
        <w:rPr>
          <w:rFonts w:ascii="Times New Roman" w:eastAsia="標楷體" w:hAnsi="Times New Roman" w:cs="細明體" w:hint="eastAsia"/>
          <w:color w:val="0070C0"/>
        </w:rPr>
        <w:t>頁</w:t>
      </w:r>
      <w:r w:rsidRPr="00BB60BE">
        <w:rPr>
          <w:rFonts w:ascii="Times New Roman" w:eastAsia="標楷體" w:hAnsi="Times New Roman" w:cs="細明體" w:hint="eastAsia"/>
          <w:color w:val="0070C0"/>
        </w:rPr>
        <w:t xml:space="preserve"> 13-39.</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李國禎</w:t>
      </w:r>
      <w:r w:rsidRPr="005C4505">
        <w:rPr>
          <w:rFonts w:ascii="Times New Roman" w:eastAsia="標楷體" w:hAnsi="Times New Roman" w:cs="細明體" w:hint="eastAsia"/>
        </w:rPr>
        <w:t xml:space="preserve"> (2001). </w:t>
      </w:r>
      <w:r w:rsidRPr="00BB60BE">
        <w:rPr>
          <w:rFonts w:ascii="Times New Roman" w:eastAsia="標楷體" w:hAnsi="Times New Roman" w:cs="細明體" w:hint="eastAsia"/>
          <w:i/>
        </w:rPr>
        <w:t>國中學生對教師有效教學行為的知覺與其學習策略、學業成就之相關研究</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碩士論文</w:t>
      </w:r>
      <w:r w:rsidRPr="005C4505">
        <w:rPr>
          <w:rFonts w:ascii="Times New Roman" w:eastAsia="標楷體" w:hAnsi="Times New Roman" w:cs="細明體" w:hint="eastAsia"/>
        </w:rPr>
        <w:t>).</w:t>
      </w:r>
      <w:r w:rsidRPr="005C4505">
        <w:rPr>
          <w:rFonts w:ascii="Times New Roman" w:eastAsia="標楷體" w:hAnsi="Times New Roman" w:cs="細明體" w:hint="eastAsia"/>
        </w:rPr>
        <w:t>國立高雄師範大學教育學系</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高雄</w:t>
      </w:r>
      <w:r w:rsidRPr="005C4505">
        <w:rPr>
          <w:rFonts w:ascii="Times New Roman" w:eastAsia="標楷體" w:hAnsi="Times New Roman" w:cs="細明體" w:hint="eastAsia"/>
        </w:rPr>
        <w:t>.</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邱瓊慧</w:t>
      </w:r>
      <w:r w:rsidRPr="005C4505">
        <w:rPr>
          <w:rFonts w:ascii="Times New Roman" w:eastAsia="標楷體" w:hAnsi="Times New Roman" w:cs="細明體" w:hint="eastAsia"/>
        </w:rPr>
        <w:t xml:space="preserve"> (2006). </w:t>
      </w:r>
      <w:r w:rsidRPr="00BB60BE">
        <w:rPr>
          <w:rFonts w:ascii="Times New Roman" w:eastAsia="標楷體" w:hAnsi="Times New Roman" w:cs="細明體" w:hint="eastAsia"/>
          <w:i/>
        </w:rPr>
        <w:t>數位學習策略</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載於資策會編：</w:t>
      </w:r>
      <w:r w:rsidRPr="005C4505">
        <w:rPr>
          <w:rFonts w:ascii="Times New Roman" w:eastAsia="標楷體" w:hAnsi="Times New Roman" w:cs="細明體" w:hint="eastAsia"/>
        </w:rPr>
        <w:t>2005-2006</w:t>
      </w:r>
      <w:r w:rsidRPr="005C4505">
        <w:rPr>
          <w:rFonts w:ascii="Times New Roman" w:eastAsia="標楷體" w:hAnsi="Times New Roman" w:cs="細明體" w:hint="eastAsia"/>
        </w:rPr>
        <w:t>數位學習白皮書</w:t>
      </w:r>
      <w:r w:rsidRPr="005C4505">
        <w:rPr>
          <w:rFonts w:ascii="Times New Roman" w:eastAsia="標楷體" w:hAnsi="Times New Roman" w:cs="細明體" w:hint="eastAsia"/>
        </w:rPr>
        <w:t xml:space="preserve">. </w:t>
      </w:r>
      <w:proofErr w:type="gramStart"/>
      <w:r w:rsidRPr="005C4505">
        <w:rPr>
          <w:rFonts w:ascii="Times New Roman" w:eastAsia="標楷體" w:hAnsi="Times New Roman" w:cs="細明體" w:hint="eastAsia"/>
        </w:rPr>
        <w:t>臺</w:t>
      </w:r>
      <w:proofErr w:type="gramEnd"/>
      <w:r w:rsidRPr="005C4505">
        <w:rPr>
          <w:rFonts w:ascii="Times New Roman" w:eastAsia="標楷體" w:hAnsi="Times New Roman" w:cs="細明體" w:hint="eastAsia"/>
        </w:rPr>
        <w:t>北：數位學習國家型科技計畫辦公室</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頁</w:t>
      </w:r>
      <w:r w:rsidRPr="005C4505">
        <w:rPr>
          <w:rFonts w:ascii="Times New Roman" w:eastAsia="標楷體" w:hAnsi="Times New Roman" w:cs="細明體" w:hint="eastAsia"/>
        </w:rPr>
        <w:t>204-209</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施映雪</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主編</w:t>
      </w:r>
      <w:r w:rsidRPr="005C4505">
        <w:rPr>
          <w:rFonts w:ascii="Times New Roman" w:eastAsia="標楷體" w:hAnsi="Times New Roman" w:cs="細明體" w:hint="eastAsia"/>
        </w:rPr>
        <w:t xml:space="preserve"> (1997). </w:t>
      </w:r>
      <w:r w:rsidRPr="00BB60BE">
        <w:rPr>
          <w:rFonts w:ascii="Times New Roman" w:eastAsia="標楷體" w:hAnsi="Times New Roman" w:cs="細明體" w:hint="eastAsia"/>
          <w:i/>
        </w:rPr>
        <w:t>認識聽障學生及聽障教育巡迴輔導手冊</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台中市</w:t>
      </w:r>
      <w:r w:rsidRPr="005C4505">
        <w:rPr>
          <w:rFonts w:ascii="Times New Roman" w:eastAsia="標楷體" w:hAnsi="Times New Roman" w:cs="細明體" w:hint="eastAsia"/>
        </w:rPr>
        <w:t xml:space="preserve"> : </w:t>
      </w:r>
      <w:r w:rsidRPr="005C4505">
        <w:rPr>
          <w:rFonts w:ascii="Times New Roman" w:eastAsia="標楷體" w:hAnsi="Times New Roman" w:cs="細明體" w:hint="eastAsia"/>
        </w:rPr>
        <w:t>臺灣省政府教育廳</w:t>
      </w:r>
      <w:r w:rsidRPr="005C4505">
        <w:rPr>
          <w:rFonts w:ascii="Times New Roman" w:eastAsia="標楷體" w:hAnsi="Times New Roman" w:cs="細明體" w:hint="eastAsia"/>
        </w:rPr>
        <w:t xml:space="preserve"> , </w:t>
      </w:r>
      <w:r w:rsidRPr="005C4505">
        <w:rPr>
          <w:rFonts w:ascii="Times New Roman" w:eastAsia="標楷體" w:hAnsi="Times New Roman" w:cs="細明體" w:hint="eastAsia"/>
        </w:rPr>
        <w:t>民</w:t>
      </w:r>
      <w:r w:rsidRPr="005C4505">
        <w:rPr>
          <w:rFonts w:ascii="Times New Roman" w:eastAsia="標楷體" w:hAnsi="Times New Roman" w:cs="細明體" w:hint="eastAsia"/>
        </w:rPr>
        <w:t>86</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洪寶蓮</w:t>
      </w:r>
      <w:r w:rsidRPr="005C4505">
        <w:rPr>
          <w:rFonts w:ascii="Times New Roman" w:eastAsia="標楷體" w:hAnsi="Times New Roman" w:cs="細明體" w:hint="eastAsia"/>
        </w:rPr>
        <w:t xml:space="preserve"> (1992). </w:t>
      </w:r>
      <w:r w:rsidRPr="005C4505">
        <w:rPr>
          <w:rFonts w:ascii="Times New Roman" w:eastAsia="標楷體" w:hAnsi="Times New Roman" w:cs="細明體" w:hint="eastAsia"/>
        </w:rPr>
        <w:t>學習策略之探討與應用</w:t>
      </w:r>
      <w:r w:rsidRPr="005C4505">
        <w:rPr>
          <w:rFonts w:ascii="Times New Roman" w:eastAsia="標楷體" w:hAnsi="Times New Roman" w:cs="細明體" w:hint="eastAsia"/>
        </w:rPr>
        <w:t xml:space="preserve">. </w:t>
      </w:r>
      <w:r w:rsidRPr="00BB60BE">
        <w:rPr>
          <w:rFonts w:ascii="Times New Roman" w:eastAsia="標楷體" w:hAnsi="Times New Roman" w:cs="細明體" w:hint="eastAsia"/>
          <w:i/>
        </w:rPr>
        <w:t>諮商與輔導</w:t>
      </w:r>
      <w:r w:rsidRPr="00BB60BE">
        <w:rPr>
          <w:rFonts w:ascii="Times New Roman" w:eastAsia="標楷體" w:hAnsi="Times New Roman" w:cs="細明體" w:hint="eastAsia"/>
          <w:i/>
        </w:rPr>
        <w:t>, 81</w:t>
      </w:r>
      <w:r w:rsidRPr="00BB60BE">
        <w:rPr>
          <w:rFonts w:ascii="Times New Roman" w:eastAsia="標楷體" w:hAnsi="Times New Roman" w:cs="細明體" w:hint="eastAsia"/>
          <w:i/>
        </w:rPr>
        <w:t>期</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頁</w:t>
      </w:r>
      <w:r w:rsidRPr="005C4505">
        <w:rPr>
          <w:rFonts w:ascii="Times New Roman" w:eastAsia="標楷體" w:hAnsi="Times New Roman" w:cs="細明體" w:hint="eastAsia"/>
        </w:rPr>
        <w:t xml:space="preserve">19-21. </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胡永崇</w:t>
      </w:r>
      <w:r w:rsidRPr="005C4505">
        <w:rPr>
          <w:rFonts w:ascii="Times New Roman" w:eastAsia="標楷體" w:hAnsi="Times New Roman" w:cs="細明體" w:hint="eastAsia"/>
        </w:rPr>
        <w:t xml:space="preserve"> (2000). </w:t>
      </w:r>
      <w:r w:rsidRPr="00BB60BE">
        <w:rPr>
          <w:rFonts w:ascii="Times New Roman" w:eastAsia="標楷體" w:hAnsi="Times New Roman" w:cs="細明體" w:hint="eastAsia"/>
          <w:i/>
        </w:rPr>
        <w:t>聽覺障礙者之教育</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載於王文科主編：特殊教育導論</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台北：心理，民</w:t>
      </w:r>
      <w:r w:rsidRPr="005C4505">
        <w:rPr>
          <w:rFonts w:ascii="Times New Roman" w:eastAsia="標楷體" w:hAnsi="Times New Roman" w:cs="細明體" w:hint="eastAsia"/>
        </w:rPr>
        <w:t>89</w:t>
      </w:r>
    </w:p>
    <w:p w:rsidR="004B3764" w:rsidRPr="005C4505" w:rsidRDefault="004B3764" w:rsidP="005C4505">
      <w:pPr>
        <w:pStyle w:val="ae"/>
        <w:widowControl/>
        <w:numPr>
          <w:ilvl w:val="0"/>
          <w:numId w:val="12"/>
        </w:numPr>
        <w:topLinePunct/>
        <w:spacing w:line="360" w:lineRule="auto"/>
        <w:ind w:leftChars="0" w:left="142" w:hangingChars="59" w:hanging="142"/>
        <w:jc w:val="both"/>
        <w:rPr>
          <w:rFonts w:ascii="Times New Roman" w:eastAsia="標楷體" w:hAnsi="Times New Roman" w:cs="細明體"/>
        </w:rPr>
      </w:pPr>
      <w:proofErr w:type="gramStart"/>
      <w:r w:rsidRPr="005C4505">
        <w:rPr>
          <w:rFonts w:ascii="Times New Roman" w:eastAsia="標楷體" w:hAnsi="Times New Roman" w:cs="細明體" w:hint="eastAsia"/>
        </w:rPr>
        <w:t>胥彥</w:t>
      </w:r>
      <w:proofErr w:type="gramEnd"/>
      <w:r w:rsidRPr="005C4505">
        <w:rPr>
          <w:rFonts w:ascii="Times New Roman" w:eastAsia="標楷體" w:hAnsi="Times New Roman" w:cs="細明體" w:hint="eastAsia"/>
        </w:rPr>
        <w:t>華</w:t>
      </w:r>
      <w:r w:rsidRPr="005C4505">
        <w:rPr>
          <w:rFonts w:ascii="Times New Roman" w:eastAsia="標楷體" w:hAnsi="Times New Roman" w:cs="細明體" w:hint="eastAsia"/>
        </w:rPr>
        <w:t xml:space="preserve"> (1989). </w:t>
      </w:r>
      <w:r w:rsidRPr="00BB60BE">
        <w:rPr>
          <w:rFonts w:ascii="Times New Roman" w:eastAsia="標楷體" w:hAnsi="Times New Roman" w:cs="細明體" w:hint="eastAsia"/>
          <w:i/>
        </w:rPr>
        <w:t>學習策略對國小六年級學生閱讀效果之研究</w:t>
      </w:r>
      <w:r w:rsidRPr="005C4505">
        <w:rPr>
          <w:rFonts w:ascii="Times New Roman" w:eastAsia="標楷體" w:hAnsi="Times New Roman" w:cs="細明體" w:hint="eastAsia"/>
        </w:rPr>
        <w:t>. (</w:t>
      </w:r>
      <w:r w:rsidRPr="005C4505">
        <w:rPr>
          <w:rFonts w:ascii="Times New Roman" w:eastAsia="標楷體" w:hAnsi="Times New Roman" w:cs="細明體" w:hint="eastAsia"/>
        </w:rPr>
        <w:t>碩士論文</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國立台灣教育學院特殊教育研究所</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台北</w:t>
      </w:r>
      <w:r w:rsidRPr="005C4505">
        <w:rPr>
          <w:rFonts w:ascii="Times New Roman" w:eastAsia="標楷體" w:hAnsi="Times New Roman" w:cs="細明體" w:hint="eastAsia"/>
        </w:rPr>
        <w:t>.</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proofErr w:type="gramStart"/>
      <w:r w:rsidRPr="005C4505">
        <w:rPr>
          <w:rFonts w:ascii="Times New Roman" w:eastAsia="標楷體" w:hAnsi="Times New Roman" w:cs="細明體" w:hint="eastAsia"/>
        </w:rPr>
        <w:t>徐享良</w:t>
      </w:r>
      <w:proofErr w:type="gramEnd"/>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王文科</w:t>
      </w:r>
      <w:r w:rsidRPr="005C4505">
        <w:rPr>
          <w:rFonts w:ascii="Times New Roman" w:eastAsia="標楷體" w:hAnsi="Times New Roman" w:cs="細明體" w:hint="eastAsia"/>
        </w:rPr>
        <w:t xml:space="preserve"> (2000). </w:t>
      </w:r>
      <w:r w:rsidRPr="00BB60BE">
        <w:rPr>
          <w:rFonts w:ascii="Times New Roman" w:eastAsia="標楷體" w:hAnsi="Times New Roman" w:cs="細明體" w:hint="eastAsia"/>
          <w:i/>
        </w:rPr>
        <w:t>特殊教育導論</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臺北市</w:t>
      </w:r>
      <w:r w:rsidRPr="005C4505">
        <w:rPr>
          <w:rFonts w:ascii="Times New Roman" w:eastAsia="標楷體" w:hAnsi="Times New Roman" w:cs="細明體" w:hint="eastAsia"/>
        </w:rPr>
        <w:t xml:space="preserve"> : </w:t>
      </w:r>
      <w:r w:rsidRPr="005C4505">
        <w:rPr>
          <w:rFonts w:ascii="Times New Roman" w:eastAsia="標楷體" w:hAnsi="Times New Roman" w:cs="細明體" w:hint="eastAsia"/>
        </w:rPr>
        <w:t>心理</w:t>
      </w:r>
      <w:r w:rsidRPr="005C4505">
        <w:rPr>
          <w:rFonts w:ascii="Times New Roman" w:eastAsia="標楷體" w:hAnsi="Times New Roman" w:cs="細明體" w:hint="eastAsia"/>
        </w:rPr>
        <w:t xml:space="preserve"> , </w:t>
      </w:r>
      <w:r w:rsidRPr="005C4505">
        <w:rPr>
          <w:rFonts w:ascii="Times New Roman" w:eastAsia="標楷體" w:hAnsi="Times New Roman" w:cs="細明體" w:hint="eastAsia"/>
        </w:rPr>
        <w:t>民</w:t>
      </w:r>
      <w:r w:rsidRPr="005C4505">
        <w:rPr>
          <w:rFonts w:ascii="Times New Roman" w:eastAsia="標楷體" w:hAnsi="Times New Roman" w:cs="細明體" w:hint="eastAsia"/>
        </w:rPr>
        <w:t xml:space="preserve">89 </w:t>
      </w:r>
      <w:r w:rsidRPr="005C4505">
        <w:rPr>
          <w:rFonts w:ascii="Times New Roman" w:eastAsia="標楷體" w:hAnsi="Times New Roman" w:cs="細明體" w:hint="eastAsia"/>
        </w:rPr>
        <w:t>版本</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國立台灣師範大學</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特殊教育中心</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教育部</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社會教育司</w:t>
      </w:r>
      <w:r w:rsidRPr="005C4505">
        <w:rPr>
          <w:rFonts w:ascii="Times New Roman" w:eastAsia="標楷體" w:hAnsi="Times New Roman" w:cs="細明體" w:hint="eastAsia"/>
        </w:rPr>
        <w:t xml:space="preserve">(1989). </w:t>
      </w:r>
      <w:r w:rsidRPr="00BB60BE">
        <w:rPr>
          <w:rFonts w:ascii="Times New Roman" w:eastAsia="標楷體" w:hAnsi="Times New Roman" w:cs="細明體" w:hint="eastAsia"/>
          <w:i/>
        </w:rPr>
        <w:t>中華民國特殊教育法規彙編</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臺北市</w:t>
      </w:r>
      <w:r w:rsidRPr="005C4505">
        <w:rPr>
          <w:rFonts w:ascii="Times New Roman" w:eastAsia="標楷體" w:hAnsi="Times New Roman" w:cs="細明體" w:hint="eastAsia"/>
        </w:rPr>
        <w:t xml:space="preserve"> </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lastRenderedPageBreak/>
        <w:t>張德榮</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李咏吟</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洪寶蓮</w:t>
      </w:r>
      <w:r w:rsidRPr="005C4505">
        <w:rPr>
          <w:rFonts w:ascii="Times New Roman" w:eastAsia="標楷體" w:hAnsi="Times New Roman" w:cs="細明體" w:hint="eastAsia"/>
        </w:rPr>
        <w:t xml:space="preserve">. (1991). </w:t>
      </w:r>
      <w:r w:rsidRPr="00BB60BE">
        <w:rPr>
          <w:rFonts w:ascii="Times New Roman" w:eastAsia="標楷體" w:hAnsi="Times New Roman" w:cs="細明體" w:hint="eastAsia"/>
          <w:i/>
        </w:rPr>
        <w:t>大學生學習與讀書策略量表指導手冊</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臺北市</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中國行為科學社</w:t>
      </w:r>
      <w:r w:rsidRPr="005C4505">
        <w:rPr>
          <w:rFonts w:ascii="Times New Roman" w:eastAsia="標楷體" w:hAnsi="Times New Roman" w:cs="細明體" w:hint="eastAsia"/>
        </w:rPr>
        <w:t>, 1991</w:t>
      </w:r>
      <w:r w:rsidRPr="005C4505">
        <w:rPr>
          <w:rFonts w:ascii="Times New Roman" w:eastAsia="標楷體" w:hAnsi="Times New Roman" w:cs="細明體" w:hint="eastAsia"/>
        </w:rPr>
        <w:t>民</w:t>
      </w:r>
      <w:r w:rsidRPr="005C4505">
        <w:rPr>
          <w:rFonts w:ascii="Times New Roman" w:eastAsia="標楷體" w:hAnsi="Times New Roman" w:cs="細明體" w:hint="eastAsia"/>
        </w:rPr>
        <w:t xml:space="preserve">80 </w:t>
      </w:r>
      <w:r w:rsidRPr="005C4505">
        <w:rPr>
          <w:rFonts w:ascii="Times New Roman" w:eastAsia="標楷體" w:hAnsi="Times New Roman" w:cs="細明體" w:hint="eastAsia"/>
        </w:rPr>
        <w:t>版本</w:t>
      </w:r>
    </w:p>
    <w:p w:rsidR="004B3764" w:rsidRPr="005C4505" w:rsidRDefault="004B3764" w:rsidP="005C4505">
      <w:pPr>
        <w:pStyle w:val="ae"/>
        <w:widowControl/>
        <w:numPr>
          <w:ilvl w:val="0"/>
          <w:numId w:val="12"/>
        </w:numPr>
        <w:topLinePunct/>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郭郁智</w:t>
      </w:r>
      <w:r w:rsidRPr="005C4505">
        <w:rPr>
          <w:rFonts w:ascii="Times New Roman" w:eastAsia="標楷體" w:hAnsi="Times New Roman" w:cs="細明體" w:hint="eastAsia"/>
        </w:rPr>
        <w:t xml:space="preserve"> (2000). </w:t>
      </w:r>
      <w:r w:rsidRPr="00BB60BE">
        <w:rPr>
          <w:rFonts w:ascii="Times New Roman" w:eastAsia="標楷體" w:hAnsi="Times New Roman" w:cs="細明體" w:hint="eastAsia"/>
          <w:i/>
        </w:rPr>
        <w:t>國民中學學生學習策略、批判思考能力與學業成就之相關研究</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碩士論文</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國立高雄師範大學教育學系</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高雄</w:t>
      </w:r>
      <w:r w:rsidRPr="005C4505">
        <w:rPr>
          <w:rFonts w:ascii="Times New Roman" w:eastAsia="標楷體" w:hAnsi="Times New Roman" w:cs="細明體" w:hint="eastAsia"/>
        </w:rPr>
        <w:t>.</w:t>
      </w:r>
    </w:p>
    <w:p w:rsidR="004B3764" w:rsidRPr="005C4505" w:rsidRDefault="004B3764" w:rsidP="005C4505">
      <w:pPr>
        <w:pStyle w:val="ae"/>
        <w:widowControl/>
        <w:numPr>
          <w:ilvl w:val="0"/>
          <w:numId w:val="12"/>
        </w:numPr>
        <w:topLinePunct/>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黃淑娟</w:t>
      </w:r>
      <w:r w:rsidRPr="005C4505">
        <w:rPr>
          <w:rFonts w:ascii="Times New Roman" w:eastAsia="標楷體" w:hAnsi="Times New Roman" w:cs="細明體" w:hint="eastAsia"/>
        </w:rPr>
        <w:t xml:space="preserve"> (2003). </w:t>
      </w:r>
      <w:r w:rsidRPr="00BB60BE">
        <w:rPr>
          <w:rFonts w:ascii="Times New Roman" w:eastAsia="標楷體" w:hAnsi="Times New Roman" w:cs="細明體" w:hint="eastAsia"/>
          <w:i/>
        </w:rPr>
        <w:t>原住民國中生的學習動機、學習策略與學習成就關係之研究</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碩士論文</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彰化師範大學教育研究所</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彰化</w:t>
      </w:r>
      <w:r w:rsidRPr="005C4505">
        <w:rPr>
          <w:rFonts w:ascii="Times New Roman" w:eastAsia="標楷體" w:hAnsi="Times New Roman" w:cs="細明體" w:hint="eastAsia"/>
        </w:rPr>
        <w:t>.</w:t>
      </w:r>
    </w:p>
    <w:p w:rsidR="004B3764" w:rsidRPr="005C4505" w:rsidRDefault="004B3764" w:rsidP="005C4505">
      <w:pPr>
        <w:pStyle w:val="ae"/>
        <w:widowControl/>
        <w:numPr>
          <w:ilvl w:val="0"/>
          <w:numId w:val="12"/>
        </w:numPr>
        <w:topLinePunct/>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楊國樞、文崇一、吳聰賢、李亦園</w:t>
      </w:r>
      <w:r w:rsidRPr="005C4505">
        <w:rPr>
          <w:rFonts w:ascii="Times New Roman" w:eastAsia="標楷體" w:hAnsi="Times New Roman" w:cs="細明體" w:hint="eastAsia"/>
        </w:rPr>
        <w:t xml:space="preserve"> (1989). </w:t>
      </w:r>
      <w:r w:rsidRPr="00BB60BE">
        <w:rPr>
          <w:rFonts w:ascii="Times New Roman" w:eastAsia="標楷體" w:hAnsi="Times New Roman" w:cs="細明體" w:hint="eastAsia"/>
          <w:i/>
        </w:rPr>
        <w:t>社會及行為科學研究法</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臺北市</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臺灣東華書局股份有限公司</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民國</w:t>
      </w:r>
      <w:r w:rsidRPr="005C4505">
        <w:rPr>
          <w:rFonts w:ascii="Times New Roman" w:eastAsia="標楷體" w:hAnsi="Times New Roman" w:cs="細明體" w:hint="eastAsia"/>
        </w:rPr>
        <w:t xml:space="preserve">69 1980 </w:t>
      </w:r>
      <w:r w:rsidRPr="005C4505">
        <w:rPr>
          <w:rFonts w:ascii="Times New Roman" w:eastAsia="標楷體" w:hAnsi="Times New Roman" w:cs="細明體" w:hint="eastAsia"/>
        </w:rPr>
        <w:t>版本</w:t>
      </w:r>
      <w:r w:rsidRPr="005C4505">
        <w:rPr>
          <w:rFonts w:ascii="Times New Roman" w:eastAsia="標楷體" w:hAnsi="Times New Roman" w:cs="細明體" w:hint="eastAsia"/>
        </w:rPr>
        <w:t>: 3</w:t>
      </w:r>
      <w:r w:rsidRPr="005C4505">
        <w:rPr>
          <w:rFonts w:ascii="Times New Roman" w:eastAsia="標楷體" w:hAnsi="Times New Roman" w:cs="細明體" w:hint="eastAsia"/>
        </w:rPr>
        <w:t>版</w:t>
      </w:r>
      <w:r w:rsidRPr="005C4505">
        <w:rPr>
          <w:rFonts w:ascii="Times New Roman" w:eastAsia="標楷體" w:hAnsi="Times New Roman" w:cs="細明體" w:hint="eastAsia"/>
        </w:rPr>
        <w:t>.</w:t>
      </w:r>
    </w:p>
    <w:p w:rsidR="004B3764" w:rsidRPr="005C4505" w:rsidRDefault="004B3764" w:rsidP="005C4505">
      <w:pPr>
        <w:pStyle w:val="ae"/>
        <w:widowControl/>
        <w:numPr>
          <w:ilvl w:val="0"/>
          <w:numId w:val="12"/>
        </w:numPr>
        <w:topLinePunct/>
        <w:spacing w:line="360" w:lineRule="auto"/>
        <w:ind w:leftChars="0" w:left="142" w:hangingChars="59" w:hanging="142"/>
        <w:jc w:val="both"/>
        <w:rPr>
          <w:rFonts w:ascii="Times New Roman" w:eastAsia="標楷體" w:hAnsi="Times New Roman" w:cs="細明體"/>
        </w:rPr>
      </w:pPr>
      <w:proofErr w:type="gramStart"/>
      <w:r w:rsidRPr="005C4505">
        <w:rPr>
          <w:rFonts w:ascii="Times New Roman" w:eastAsia="標楷體" w:hAnsi="Times New Roman" w:cs="細明體" w:hint="eastAsia"/>
        </w:rPr>
        <w:t>鄭明韋</w:t>
      </w:r>
      <w:proofErr w:type="gramEnd"/>
      <w:r w:rsidRPr="005C4505">
        <w:rPr>
          <w:rFonts w:ascii="Times New Roman" w:eastAsia="標楷體" w:hAnsi="Times New Roman" w:cs="細明體" w:hint="eastAsia"/>
        </w:rPr>
        <w:t xml:space="preserve"> (1999). </w:t>
      </w:r>
      <w:r w:rsidRPr="00BB60BE">
        <w:rPr>
          <w:rFonts w:ascii="Times New Roman" w:eastAsia="標楷體" w:hAnsi="Times New Roman" w:cs="細明體" w:hint="eastAsia"/>
          <w:i/>
        </w:rPr>
        <w:t>國立空中大學嘉義地區學生學習方式、學習參與程度與學習成效之研究</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碩士論文</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國立中正大學成人及繼續教育研究所</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嘉義</w:t>
      </w:r>
      <w:r w:rsidRPr="005C4505">
        <w:rPr>
          <w:rFonts w:ascii="Times New Roman" w:eastAsia="標楷體" w:hAnsi="Times New Roman" w:cs="細明體" w:hint="eastAsia"/>
        </w:rPr>
        <w:t>.</w:t>
      </w:r>
    </w:p>
    <w:p w:rsidR="004B3764" w:rsidRPr="005C4505" w:rsidRDefault="004B3764" w:rsidP="005C4505">
      <w:pPr>
        <w:pStyle w:val="ae"/>
        <w:widowControl/>
        <w:numPr>
          <w:ilvl w:val="0"/>
          <w:numId w:val="12"/>
        </w:numPr>
        <w:topLinePunct/>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盧青延</w:t>
      </w:r>
      <w:r w:rsidRPr="005C4505">
        <w:rPr>
          <w:rFonts w:ascii="Times New Roman" w:eastAsia="標楷體" w:hAnsi="Times New Roman" w:cs="細明體" w:hint="eastAsia"/>
        </w:rPr>
        <w:t xml:space="preserve"> (1993). </w:t>
      </w:r>
      <w:r w:rsidRPr="00BB60BE">
        <w:rPr>
          <w:rFonts w:ascii="Times New Roman" w:eastAsia="標楷體" w:hAnsi="Times New Roman" w:cs="細明體" w:hint="eastAsia"/>
          <w:i/>
        </w:rPr>
        <w:t>我國國民中學補習學校學生學習動機、學習策略與學業成效關係之研究</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碩士論文</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國立台灣師範大學社會教育研究所</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台北</w:t>
      </w:r>
      <w:r w:rsidRPr="005C4505">
        <w:rPr>
          <w:rFonts w:ascii="Times New Roman" w:eastAsia="標楷體" w:hAnsi="Times New Roman" w:cs="細明體" w:hint="eastAsia"/>
        </w:rPr>
        <w:t>.</w:t>
      </w:r>
    </w:p>
    <w:p w:rsidR="004F532A"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蕭金土</w:t>
      </w:r>
      <w:r w:rsidRPr="005C4505">
        <w:rPr>
          <w:rFonts w:ascii="Times New Roman" w:eastAsia="標楷體" w:hAnsi="Times New Roman" w:cs="細明體" w:hint="eastAsia"/>
        </w:rPr>
        <w:t xml:space="preserve">. (1987). </w:t>
      </w:r>
      <w:r w:rsidRPr="005C4505">
        <w:rPr>
          <w:rFonts w:ascii="Times New Roman" w:eastAsia="標楷體" w:hAnsi="Times New Roman" w:cs="細明體" w:hint="eastAsia"/>
        </w:rPr>
        <w:t>聽覺障礙學生認知能力發展之研究</w:t>
      </w:r>
      <w:r w:rsidRPr="005C4505">
        <w:rPr>
          <w:rFonts w:ascii="Times New Roman" w:eastAsia="標楷體" w:hAnsi="Times New Roman" w:cs="細明體" w:hint="eastAsia"/>
        </w:rPr>
        <w:t xml:space="preserve"> </w:t>
      </w:r>
      <w:r w:rsidRPr="00BB60BE">
        <w:rPr>
          <w:rFonts w:ascii="Times New Roman" w:eastAsia="標楷體" w:hAnsi="Times New Roman" w:cs="細明體" w:hint="eastAsia"/>
          <w:i/>
        </w:rPr>
        <w:t>特殊教育學報</w:t>
      </w:r>
      <w:r w:rsidRPr="005C4505">
        <w:rPr>
          <w:rFonts w:ascii="Times New Roman" w:eastAsia="標楷體" w:hAnsi="Times New Roman" w:cs="細明體" w:hint="eastAsia"/>
        </w:rPr>
        <w:t xml:space="preserve">, (2), 37-56. </w:t>
      </w:r>
    </w:p>
    <w:sectPr w:rsidR="004F532A" w:rsidRPr="005C4505" w:rsidSect="007B4858">
      <w:pgSz w:w="11906" w:h="16838" w:code="9"/>
      <w:pgMar w:top="1440" w:right="1797" w:bottom="1440" w:left="1797" w:header="851" w:footer="62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A03" w:rsidRDefault="00BF3A03" w:rsidP="00E649E1">
      <w:r>
        <w:separator/>
      </w:r>
    </w:p>
  </w:endnote>
  <w:endnote w:type="continuationSeparator" w:id="0">
    <w:p w:rsidR="00BF3A03" w:rsidRDefault="00BF3A03" w:rsidP="00E64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A03" w:rsidRDefault="00BF3A03" w:rsidP="00E649E1">
      <w:r>
        <w:separator/>
      </w:r>
    </w:p>
  </w:footnote>
  <w:footnote w:type="continuationSeparator" w:id="0">
    <w:p w:rsidR="00BF3A03" w:rsidRDefault="00BF3A03" w:rsidP="00E64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9E1" w:rsidRDefault="00E649E1">
    <w:pPr>
      <w:pStyle w:val="a9"/>
    </w:pPr>
    <w:r>
      <w:rPr>
        <w:noProof/>
      </w:rPr>
      <mc:AlternateContent>
        <mc:Choice Requires="wps">
          <w:drawing>
            <wp:anchor distT="46990" distB="46990" distL="114300" distR="114300" simplePos="0" relativeHeight="251659264" behindDoc="0" locked="0" layoutInCell="1" allowOverlap="1">
              <wp:simplePos x="0" y="0"/>
              <wp:positionH relativeFrom="margin">
                <wp:posOffset>-179070</wp:posOffset>
              </wp:positionH>
              <wp:positionV relativeFrom="paragraph">
                <wp:posOffset>-292735</wp:posOffset>
              </wp:positionV>
              <wp:extent cx="5619600" cy="298800"/>
              <wp:effectExtent l="0" t="0" r="19685" b="25400"/>
              <wp:wrapSquare wrapText="bothSides"/>
              <wp:docPr id="1" name="文字方塊 1"/>
              <wp:cNvGraphicFramePr/>
              <a:graphic xmlns:a="http://schemas.openxmlformats.org/drawingml/2006/main">
                <a:graphicData uri="http://schemas.microsoft.com/office/word/2010/wordprocessingShape">
                  <wps:wsp>
                    <wps:cNvSpPr txBox="1"/>
                    <wps:spPr>
                      <a:xfrm>
                        <a:off x="0" y="0"/>
                        <a:ext cx="5619600" cy="298800"/>
                      </a:xfrm>
                      <a:prstGeom prst="rect">
                        <a:avLst/>
                      </a:prstGeom>
                      <a:solidFill>
                        <a:schemeClr val="lt1"/>
                      </a:solidFill>
                      <a:ln w="6350">
                        <a:solidFill>
                          <a:prstClr val="black"/>
                        </a:solidFill>
                      </a:ln>
                    </wps:spPr>
                    <wps:txbx>
                      <w:txbxContent>
                        <w:p w:rsidR="00E649E1" w:rsidRPr="00E649E1" w:rsidRDefault="00E649E1">
                          <w:pPr>
                            <w:rPr>
                              <w:rFonts w:ascii="Times New Roman" w:eastAsia="標楷體" w:hAnsi="Times New Roman"/>
                            </w:rPr>
                          </w:pPr>
                          <w:r w:rsidRPr="00E649E1">
                            <w:rPr>
                              <w:rFonts w:ascii="Times New Roman" w:eastAsia="標楷體" w:hAnsi="Times New Roman" w:hint="eastAsia"/>
                            </w:rPr>
                            <w:t>試題</w:t>
                          </w:r>
                          <w:r w:rsidRPr="00E649E1">
                            <w:rPr>
                              <w:rFonts w:ascii="Times New Roman" w:eastAsia="標楷體" w:hAnsi="Times New Roman"/>
                            </w:rPr>
                            <w:t>設計採用完整論文進行構思，但配合評分，將擷取部分內容作為設計項目。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1" o:spid="_x0000_s1045" type="#_x0000_t202" style="position:absolute;margin-left:-14.1pt;margin-top:-23.05pt;width:442.5pt;height:23.55pt;z-index:251659264;visibility:visible;mso-wrap-style:square;mso-width-percent:0;mso-height-percent:0;mso-wrap-distance-left:9pt;mso-wrap-distance-top:3.7pt;mso-wrap-distance-right:9pt;mso-wrap-distance-bottom:3.7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" fillcolor="white [3201]" strokeweight=".5pt">
              <v:textbox>
                <w:txbxContent>
                  <w:p w:rsidR="00E649E1" w:rsidRPr="00E649E1" w:rsidRDefault="00E649E1">
                    <w:pPr>
                      <w:rPr>
                        <w:rFonts w:ascii="Times New Roman" w:eastAsia="標楷體" w:hAnsi="Times New Roman" w:hint="eastAsia"/>
                      </w:rPr>
                    </w:pPr>
                    <w:r w:rsidRPr="00E649E1">
                      <w:rPr>
                        <w:rFonts w:ascii="Times New Roman" w:eastAsia="標楷體" w:hAnsi="Times New Roman" w:hint="eastAsia"/>
                      </w:rPr>
                      <w:t>試題</w:t>
                    </w:r>
                    <w:r w:rsidRPr="00E649E1">
                      <w:rPr>
                        <w:rFonts w:ascii="Times New Roman" w:eastAsia="標楷體" w:hAnsi="Times New Roman"/>
                      </w:rPr>
                      <w:t>設計採用完整論文進行構思，但配合評分，將擷取部分內容作為設計項目。</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9E1" w:rsidRDefault="00264083">
    <w:pPr>
      <w:pStyle w:val="a9"/>
    </w:pPr>
    <w:r>
      <w:rPr>
        <w:noProof/>
      </w:rPr>
      <mc:AlternateContent>
        <mc:Choice Requires="wps">
          <w:drawing>
            <wp:anchor distT="46990" distB="46990" distL="114300" distR="114300" simplePos="0" relativeHeight="251661312" behindDoc="0" locked="0" layoutInCell="1" allowOverlap="1" wp14:anchorId="798924B7" wp14:editId="1D528A93">
              <wp:simplePos x="0" y="0"/>
              <wp:positionH relativeFrom="margin">
                <wp:align>center</wp:align>
              </wp:positionH>
              <wp:positionV relativeFrom="paragraph">
                <wp:posOffset>-295275</wp:posOffset>
              </wp:positionV>
              <wp:extent cx="5619600" cy="298800"/>
              <wp:effectExtent l="0" t="0" r="19685" b="25400"/>
              <wp:wrapSquare wrapText="bothSides"/>
              <wp:docPr id="2" name="文字方塊 2"/>
              <wp:cNvGraphicFramePr/>
              <a:graphic xmlns:a="http://schemas.openxmlformats.org/drawingml/2006/main">
                <a:graphicData uri="http://schemas.microsoft.com/office/word/2010/wordprocessingShape">
                  <wps:wsp>
                    <wps:cNvSpPr txBox="1"/>
                    <wps:spPr>
                      <a:xfrm>
                        <a:off x="0" y="0"/>
                        <a:ext cx="5619600" cy="298800"/>
                      </a:xfrm>
                      <a:prstGeom prst="rect">
                        <a:avLst/>
                      </a:prstGeom>
                      <a:solidFill>
                        <a:schemeClr val="lt1"/>
                      </a:solidFill>
                      <a:ln w="6350">
                        <a:solidFill>
                          <a:prstClr val="black"/>
                        </a:solidFill>
                      </a:ln>
                    </wps:spPr>
                    <wps:txbx>
                      <w:txbxContent>
                        <w:p w:rsidR="00264083" w:rsidRPr="00E649E1" w:rsidRDefault="00264083" w:rsidP="00264083">
                          <w:pPr>
                            <w:rPr>
                              <w:rFonts w:ascii="Times New Roman" w:eastAsia="標楷體" w:hAnsi="Times New Roman"/>
                            </w:rPr>
                          </w:pPr>
                          <w:r w:rsidRPr="00E649E1">
                            <w:rPr>
                              <w:rFonts w:ascii="Times New Roman" w:eastAsia="標楷體" w:hAnsi="Times New Roman" w:hint="eastAsia"/>
                            </w:rPr>
                            <w:t>試題</w:t>
                          </w:r>
                          <w:r w:rsidRPr="00E649E1">
                            <w:rPr>
                              <w:rFonts w:ascii="Times New Roman" w:eastAsia="標楷體" w:hAnsi="Times New Roman"/>
                            </w:rPr>
                            <w:t>設計採用完整論文進行構思，但配合評分，將擷取部分內容作為設計項目。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8924B7" id="_x0000_t202" coordsize="21600,21600" o:spt="202" path="m,l,21600r21600,l21600,xe">
              <v:stroke joinstyle="miter"/>
              <v:path gradientshapeok="t" o:connecttype="rect"/>
            </v:shapetype>
            <v:shape id="文字方塊 2" o:spid="_x0000_s1046" type="#_x0000_t202" style="position:absolute;margin-left:0;margin-top:-23.25pt;width:442.5pt;height:23.55pt;z-index:251661312;visibility:visible;mso-wrap-style:square;mso-width-percent:0;mso-height-percent:0;mso-wrap-distance-left:9pt;mso-wrap-distance-top:3.7pt;mso-wrap-distance-right:9pt;mso-wrap-distance-bottom:3.7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" fillcolor="white [3201]" strokeweight=".5pt">
              <v:textbox>
                <w:txbxContent>
                  <w:p w:rsidR="00264083" w:rsidRPr="00E649E1" w:rsidRDefault="00264083" w:rsidP="00264083">
                    <w:pPr>
                      <w:rPr>
                        <w:rFonts w:ascii="Times New Roman" w:eastAsia="標楷體" w:hAnsi="Times New Roman" w:hint="eastAsia"/>
                      </w:rPr>
                    </w:pPr>
                    <w:r w:rsidRPr="00E649E1">
                      <w:rPr>
                        <w:rFonts w:ascii="Times New Roman" w:eastAsia="標楷體" w:hAnsi="Times New Roman" w:hint="eastAsia"/>
                      </w:rPr>
                      <w:t>試題</w:t>
                    </w:r>
                    <w:r w:rsidRPr="00E649E1">
                      <w:rPr>
                        <w:rFonts w:ascii="Times New Roman" w:eastAsia="標楷體" w:hAnsi="Times New Roman"/>
                      </w:rPr>
                      <w:t>設計採用完整論文進行構思，但配合評分，將擷取部分內容作為設計項目。</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A72B9"/>
    <w:multiLevelType w:val="hybridMultilevel"/>
    <w:tmpl w:val="C2604F6C"/>
    <w:lvl w:ilvl="0" w:tplc="778803E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6BC07A0"/>
    <w:multiLevelType w:val="hybridMultilevel"/>
    <w:tmpl w:val="84A66232"/>
    <w:lvl w:ilvl="0" w:tplc="E6B42790">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9C67E32"/>
    <w:multiLevelType w:val="hybridMultilevel"/>
    <w:tmpl w:val="539C01F8"/>
    <w:lvl w:ilvl="0" w:tplc="E6B42790">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5C600FB2"/>
    <w:multiLevelType w:val="hybridMultilevel"/>
    <w:tmpl w:val="51802F48"/>
    <w:lvl w:ilvl="0" w:tplc="743455A0">
      <w:start w:val="1"/>
      <w:numFmt w:val="taiwaneseCountingThousand"/>
      <w:pStyle w:val="a"/>
      <w:lvlText w:val="%1、"/>
      <w:lvlJc w:val="left"/>
      <w:pPr>
        <w:ind w:left="96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63D77937"/>
    <w:multiLevelType w:val="hybridMultilevel"/>
    <w:tmpl w:val="F97498F6"/>
    <w:lvl w:ilvl="0" w:tplc="F8E0319E">
      <w:start w:val="1"/>
      <w:numFmt w:val="decimal"/>
      <w:lvlText w:val="%1."/>
      <w:lvlJc w:val="right"/>
      <w:pPr>
        <w:ind w:left="480" w:hanging="192"/>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92A3F47"/>
    <w:multiLevelType w:val="hybridMultilevel"/>
    <w:tmpl w:val="FCD86FA2"/>
    <w:lvl w:ilvl="0" w:tplc="22DCD896">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73B65893"/>
    <w:multiLevelType w:val="multilevel"/>
    <w:tmpl w:val="57085828"/>
    <w:lvl w:ilvl="0">
      <w:start w:val="1"/>
      <w:numFmt w:val="decimal"/>
      <w:pStyle w:val="1"/>
      <w:suff w:val="nothing"/>
      <w:lvlText w:val="%1"/>
      <w:lvlJc w:val="left"/>
      <w:pPr>
        <w:ind w:left="0" w:firstLine="0"/>
      </w:pPr>
      <w:rPr>
        <w:rFonts w:hint="eastAsia"/>
        <w:vanish/>
      </w:rPr>
    </w:lvl>
    <w:lvl w:ilvl="1">
      <w:start w:val="1"/>
      <w:numFmt w:val="taiwaneseCountingThousand"/>
      <w:pStyle w:val="2"/>
      <w:isLgl/>
      <w:lvlText w:val="%1.%2"/>
      <w:lvlJc w:val="left"/>
      <w:pPr>
        <w:tabs>
          <w:tab w:val="num" w:pos="851"/>
        </w:tabs>
        <w:ind w:left="851" w:hanging="851"/>
      </w:pPr>
      <w:rPr>
        <w:rFonts w:hint="eastAsia"/>
      </w:rPr>
    </w:lvl>
    <w:lvl w:ilvl="2">
      <w:start w:val="1"/>
      <w:numFmt w:val="taiwaneseCountingThousand"/>
      <w:pStyle w:val="3"/>
      <w:isLgl/>
      <w:lvlText w:val="%1.%2.%3"/>
      <w:lvlJc w:val="left"/>
      <w:pPr>
        <w:tabs>
          <w:tab w:val="num" w:pos="1134"/>
        </w:tabs>
        <w:ind w:left="1134" w:hanging="1134"/>
      </w:pPr>
      <w:rPr>
        <w:rFonts w:hint="eastAsia"/>
      </w:rPr>
    </w:lvl>
    <w:lvl w:ilvl="3">
      <w:start w:val="1"/>
      <w:numFmt w:val="taiwaneseCountingThousand"/>
      <w:pStyle w:val="4"/>
      <w:suff w:val="nothing"/>
      <w:lvlText w:val="%4、"/>
      <w:lvlJc w:val="left"/>
      <w:pPr>
        <w:ind w:left="1984" w:hanging="1700"/>
      </w:pPr>
      <w:rPr>
        <w:rFonts w:hint="eastAsia"/>
      </w:rPr>
    </w:lvl>
    <w:lvl w:ilvl="4">
      <w:start w:val="1"/>
      <w:numFmt w:val="none"/>
      <w:suff w:val="nothing"/>
      <w:lvlText w:val=""/>
      <w:lvlJc w:val="left"/>
      <w:pPr>
        <w:ind w:left="2551" w:hanging="850"/>
      </w:pPr>
      <w:rPr>
        <w:rFonts w:hint="eastAsia"/>
      </w:rPr>
    </w:lvl>
    <w:lvl w:ilvl="5">
      <w:start w:val="1"/>
      <w:numFmt w:val="none"/>
      <w:suff w:val="nothing"/>
      <w:lvlText w:val=""/>
      <w:lvlJc w:val="left"/>
      <w:pPr>
        <w:ind w:left="3260" w:hanging="1134"/>
      </w:pPr>
      <w:rPr>
        <w:rFonts w:hint="eastAsia"/>
      </w:rPr>
    </w:lvl>
    <w:lvl w:ilvl="6">
      <w:start w:val="1"/>
      <w:numFmt w:val="none"/>
      <w:suff w:val="nothing"/>
      <w:lvlText w:val=""/>
      <w:lvlJc w:val="left"/>
      <w:pPr>
        <w:ind w:left="3827" w:hanging="1276"/>
      </w:pPr>
      <w:rPr>
        <w:rFonts w:hint="eastAsia"/>
      </w:rPr>
    </w:lvl>
    <w:lvl w:ilvl="7">
      <w:start w:val="1"/>
      <w:numFmt w:val="none"/>
      <w:suff w:val="nothing"/>
      <w:lvlText w:val=""/>
      <w:lvlJc w:val="left"/>
      <w:pPr>
        <w:ind w:left="4394" w:hanging="1418"/>
      </w:pPr>
      <w:rPr>
        <w:rFonts w:hint="eastAsia"/>
      </w:rPr>
    </w:lvl>
    <w:lvl w:ilvl="8">
      <w:start w:val="1"/>
      <w:numFmt w:val="none"/>
      <w:suff w:val="nothing"/>
      <w:lvlText w:val=""/>
      <w:lvlJc w:val="left"/>
      <w:pPr>
        <w:ind w:left="5102" w:hanging="1700"/>
      </w:pPr>
      <w:rPr>
        <w:rFonts w:hint="eastAsia"/>
      </w:rPr>
    </w:lvl>
  </w:abstractNum>
  <w:num w:numId="1">
    <w:abstractNumId w:val="6"/>
  </w:num>
  <w:num w:numId="2">
    <w:abstractNumId w:val="6"/>
  </w:num>
  <w:num w:numId="3">
    <w:abstractNumId w:val="6"/>
  </w:num>
  <w:num w:numId="4">
    <w:abstractNumId w:val="6"/>
  </w:num>
  <w:num w:numId="5">
    <w:abstractNumId w:val="5"/>
  </w:num>
  <w:num w:numId="6">
    <w:abstractNumId w:val="3"/>
  </w:num>
  <w:num w:numId="7">
    <w:abstractNumId w:val="3"/>
    <w:lvlOverride w:ilvl="0">
      <w:startOverride w:val="1"/>
    </w:lvlOverride>
  </w:num>
  <w:num w:numId="8">
    <w:abstractNumId w:val="3"/>
    <w:lvlOverride w:ilvl="0">
      <w:startOverride w:val="1"/>
    </w:lvlOverride>
  </w:num>
  <w:num w:numId="9">
    <w:abstractNumId w:val="2"/>
  </w:num>
  <w:num w:numId="10">
    <w:abstractNumId w:val="0"/>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764"/>
    <w:rsid w:val="001922AC"/>
    <w:rsid w:val="00264083"/>
    <w:rsid w:val="003A7486"/>
    <w:rsid w:val="003E4CE4"/>
    <w:rsid w:val="00463BE1"/>
    <w:rsid w:val="004B3764"/>
    <w:rsid w:val="004F532A"/>
    <w:rsid w:val="00565A54"/>
    <w:rsid w:val="00571B95"/>
    <w:rsid w:val="005C4505"/>
    <w:rsid w:val="006F0379"/>
    <w:rsid w:val="00770DBD"/>
    <w:rsid w:val="007A4AA1"/>
    <w:rsid w:val="007B4858"/>
    <w:rsid w:val="009B670C"/>
    <w:rsid w:val="00AD76C0"/>
    <w:rsid w:val="00BB4576"/>
    <w:rsid w:val="00BB60BE"/>
    <w:rsid w:val="00BF3A03"/>
    <w:rsid w:val="00C613DB"/>
    <w:rsid w:val="00D91041"/>
    <w:rsid w:val="00E649E1"/>
    <w:rsid w:val="00F27BE9"/>
    <w:rsid w:val="00F6599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AF98CF8-BC0C-4B84-AC72-5F117E4E0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paragraph" w:styleId="1">
    <w:name w:val="heading 1"/>
    <w:basedOn w:val="a0"/>
    <w:next w:val="a0"/>
    <w:link w:val="10"/>
    <w:uiPriority w:val="9"/>
    <w:qFormat/>
    <w:rsid w:val="004B3764"/>
    <w:pPr>
      <w:keepNext/>
      <w:pageBreakBefore/>
      <w:widowControl/>
      <w:numPr>
        <w:numId w:val="4"/>
      </w:numPr>
      <w:wordWrap w:val="0"/>
      <w:topLinePunct/>
      <w:adjustRightInd w:val="0"/>
      <w:spacing w:beforeLines="50" w:before="50" w:afterLines="50" w:after="50" w:line="360" w:lineRule="auto"/>
      <w:jc w:val="center"/>
      <w:textAlignment w:val="baseline"/>
      <w:outlineLvl w:val="0"/>
    </w:pPr>
    <w:rPr>
      <w:rFonts w:ascii="Times New Roman" w:eastAsia="標楷體" w:hAnsi="Times New Roman" w:cstheme="majorBidi"/>
      <w:b/>
      <w:bCs/>
      <w:kern w:val="52"/>
      <w:sz w:val="40"/>
      <w:szCs w:val="52"/>
    </w:rPr>
  </w:style>
  <w:style w:type="paragraph" w:styleId="2">
    <w:name w:val="heading 2"/>
    <w:basedOn w:val="a0"/>
    <w:next w:val="a0"/>
    <w:link w:val="20"/>
    <w:uiPriority w:val="9"/>
    <w:unhideWhenUsed/>
    <w:qFormat/>
    <w:rsid w:val="004B3764"/>
    <w:pPr>
      <w:keepNext/>
      <w:widowControl/>
      <w:numPr>
        <w:ilvl w:val="1"/>
        <w:numId w:val="4"/>
      </w:numPr>
      <w:wordWrap w:val="0"/>
      <w:topLinePunct/>
      <w:adjustRightInd w:val="0"/>
      <w:spacing w:beforeLines="200" w:before="200" w:afterLines="100" w:after="100"/>
      <w:textAlignment w:val="baseline"/>
      <w:outlineLvl w:val="1"/>
    </w:pPr>
    <w:rPr>
      <w:rFonts w:ascii="Times New Roman" w:eastAsia="標楷體" w:hAnsi="Times New Roman" w:cstheme="majorBidi"/>
      <w:b/>
      <w:bCs/>
      <w:kern w:val="0"/>
      <w:sz w:val="36"/>
      <w:szCs w:val="48"/>
    </w:rPr>
  </w:style>
  <w:style w:type="paragraph" w:styleId="3">
    <w:name w:val="heading 3"/>
    <w:basedOn w:val="a0"/>
    <w:next w:val="a0"/>
    <w:link w:val="30"/>
    <w:uiPriority w:val="9"/>
    <w:unhideWhenUsed/>
    <w:qFormat/>
    <w:rsid w:val="004B3764"/>
    <w:pPr>
      <w:keepNext/>
      <w:widowControl/>
      <w:numPr>
        <w:ilvl w:val="2"/>
        <w:numId w:val="4"/>
      </w:numPr>
      <w:wordWrap w:val="0"/>
      <w:topLinePunct/>
      <w:adjustRightInd w:val="0"/>
      <w:spacing w:beforeLines="200" w:before="200" w:afterLines="50" w:after="50" w:line="360" w:lineRule="auto"/>
      <w:textAlignment w:val="baseline"/>
      <w:outlineLvl w:val="2"/>
    </w:pPr>
    <w:rPr>
      <w:rFonts w:ascii="Times New Roman" w:eastAsia="標楷體" w:hAnsi="Times New Roman" w:cstheme="majorBidi"/>
      <w:b/>
      <w:bCs/>
      <w:kern w:val="0"/>
      <w:sz w:val="32"/>
      <w:szCs w:val="36"/>
    </w:rPr>
  </w:style>
  <w:style w:type="paragraph" w:styleId="4">
    <w:name w:val="heading 4"/>
    <w:basedOn w:val="a0"/>
    <w:next w:val="a0"/>
    <w:link w:val="40"/>
    <w:unhideWhenUsed/>
    <w:qFormat/>
    <w:rsid w:val="004B3764"/>
    <w:pPr>
      <w:keepNext/>
      <w:widowControl/>
      <w:numPr>
        <w:ilvl w:val="3"/>
        <w:numId w:val="4"/>
      </w:numPr>
      <w:wordWrap w:val="0"/>
      <w:topLinePunct/>
      <w:spacing w:beforeLines="100" w:before="100" w:afterLines="50" w:after="50" w:line="360" w:lineRule="auto"/>
      <w:outlineLvl w:val="3"/>
    </w:pPr>
    <w:rPr>
      <w:rFonts w:ascii="Times New Roman" w:eastAsia="標楷體" w:hAnsi="Times New Roman" w:cstheme="majorBidi"/>
      <w:sz w:val="28"/>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文章1"/>
    <w:basedOn w:val="a0"/>
    <w:qFormat/>
    <w:rsid w:val="004B3764"/>
    <w:pPr>
      <w:widowControl/>
      <w:topLinePunct/>
      <w:spacing w:beforeLines="50" w:before="180" w:afterLines="50" w:after="180" w:line="360" w:lineRule="auto"/>
      <w:ind w:firstLineChars="200" w:firstLine="480"/>
      <w:jc w:val="both"/>
    </w:pPr>
    <w:rPr>
      <w:rFonts w:ascii="Times New Roman" w:eastAsia="標楷體" w:hAnsi="Times New Roman"/>
      <w:szCs w:val="20"/>
    </w:rPr>
  </w:style>
  <w:style w:type="paragraph" w:customStyle="1" w:styleId="21">
    <w:name w:val="文章2"/>
    <w:basedOn w:val="a0"/>
    <w:qFormat/>
    <w:rsid w:val="004B3764"/>
    <w:pPr>
      <w:widowControl/>
      <w:topLinePunct/>
      <w:spacing w:beforeLines="50" w:before="180" w:afterLines="50" w:after="180" w:line="360" w:lineRule="auto"/>
      <w:ind w:firstLineChars="200" w:firstLine="480"/>
      <w:jc w:val="both"/>
    </w:pPr>
    <w:rPr>
      <w:rFonts w:ascii="Times New Roman" w:eastAsia="標楷體" w:hAnsi="Times New Roman"/>
    </w:rPr>
  </w:style>
  <w:style w:type="paragraph" w:customStyle="1" w:styleId="31">
    <w:name w:val="文章3"/>
    <w:basedOn w:val="a0"/>
    <w:qFormat/>
    <w:rsid w:val="004B3764"/>
    <w:pPr>
      <w:widowControl/>
      <w:topLinePunct/>
      <w:spacing w:beforeLines="50" w:before="50" w:afterLines="50" w:after="50" w:line="360" w:lineRule="auto"/>
      <w:ind w:firstLineChars="200" w:firstLine="200"/>
      <w:jc w:val="both"/>
    </w:pPr>
    <w:rPr>
      <w:rFonts w:ascii="Times New Roman" w:eastAsia="標楷體" w:hAnsi="Times New Roman"/>
    </w:rPr>
  </w:style>
  <w:style w:type="paragraph" w:customStyle="1" w:styleId="41">
    <w:name w:val="文章4"/>
    <w:basedOn w:val="a0"/>
    <w:qFormat/>
    <w:rsid w:val="004B3764"/>
    <w:pPr>
      <w:widowControl/>
      <w:topLinePunct/>
      <w:adjustRightInd w:val="0"/>
      <w:spacing w:beforeLines="50" w:before="180" w:afterLines="50" w:after="180" w:line="360" w:lineRule="auto"/>
      <w:ind w:leftChars="150" w:left="360" w:firstLineChars="200" w:firstLine="480"/>
      <w:jc w:val="both"/>
    </w:pPr>
    <w:rPr>
      <w:rFonts w:ascii="Times New Roman" w:eastAsia="標楷體" w:hAnsi="Times New Roman"/>
      <w:szCs w:val="20"/>
    </w:rPr>
  </w:style>
  <w:style w:type="paragraph" w:styleId="12">
    <w:name w:val="toc 1"/>
    <w:basedOn w:val="a0"/>
    <w:next w:val="a0"/>
    <w:autoRedefine/>
    <w:uiPriority w:val="39"/>
    <w:unhideWhenUsed/>
    <w:rsid w:val="004B3764"/>
    <w:pPr>
      <w:widowControl/>
      <w:wordWrap w:val="0"/>
      <w:topLinePunct/>
      <w:spacing w:before="240"/>
    </w:pPr>
    <w:rPr>
      <w:rFonts w:ascii="Times New Roman" w:eastAsia="標楷體" w:hAnsi="Times New Roman"/>
    </w:rPr>
  </w:style>
  <w:style w:type="paragraph" w:styleId="22">
    <w:name w:val="toc 2"/>
    <w:basedOn w:val="a0"/>
    <w:next w:val="a0"/>
    <w:autoRedefine/>
    <w:uiPriority w:val="39"/>
    <w:unhideWhenUsed/>
    <w:rsid w:val="004B3764"/>
    <w:pPr>
      <w:widowControl/>
      <w:wordWrap w:val="0"/>
      <w:topLinePunct/>
      <w:ind w:left="480"/>
    </w:pPr>
    <w:rPr>
      <w:rFonts w:ascii="Times New Roman" w:eastAsia="標楷體" w:hAnsi="Times New Roman"/>
      <w:sz w:val="22"/>
    </w:rPr>
  </w:style>
  <w:style w:type="paragraph" w:styleId="32">
    <w:name w:val="toc 3"/>
    <w:basedOn w:val="a0"/>
    <w:next w:val="a0"/>
    <w:autoRedefine/>
    <w:uiPriority w:val="39"/>
    <w:unhideWhenUsed/>
    <w:rsid w:val="004B3764"/>
    <w:pPr>
      <w:widowControl/>
      <w:wordWrap w:val="0"/>
      <w:topLinePunct/>
      <w:ind w:left="960"/>
    </w:pPr>
    <w:rPr>
      <w:rFonts w:ascii="Times New Roman" w:eastAsia="標楷體" w:hAnsi="Times New Roman"/>
      <w:sz w:val="22"/>
    </w:rPr>
  </w:style>
  <w:style w:type="paragraph" w:customStyle="1" w:styleId="a4">
    <w:name w:val="表格文字"/>
    <w:basedOn w:val="a0"/>
    <w:qFormat/>
    <w:rsid w:val="004B3764"/>
    <w:pPr>
      <w:widowControl/>
      <w:jc w:val="center"/>
    </w:pPr>
    <w:rPr>
      <w:rFonts w:ascii="Times New Roman" w:eastAsia="標楷體" w:hAnsi="Times New Roman" w:cs="Times New Roman"/>
      <w:kern w:val="0"/>
      <w:sz w:val="20"/>
      <w:szCs w:val="20"/>
    </w:rPr>
  </w:style>
  <w:style w:type="paragraph" w:customStyle="1" w:styleId="a5">
    <w:name w:val="表格數字"/>
    <w:basedOn w:val="a0"/>
    <w:qFormat/>
    <w:rsid w:val="004B3764"/>
    <w:pPr>
      <w:jc w:val="right"/>
    </w:pPr>
    <w:rPr>
      <w:rFonts w:ascii="Times New Roman" w:eastAsia="標楷體" w:hAnsi="Times New Roman" w:cs="Times New Roman"/>
      <w:kern w:val="0"/>
      <w:sz w:val="22"/>
      <w:szCs w:val="20"/>
    </w:rPr>
  </w:style>
  <w:style w:type="paragraph" w:customStyle="1" w:styleId="a6">
    <w:name w:val="表格標題"/>
    <w:basedOn w:val="a0"/>
    <w:rsid w:val="004B3764"/>
    <w:pPr>
      <w:jc w:val="center"/>
    </w:pPr>
    <w:rPr>
      <w:rFonts w:ascii="Times New Roman" w:eastAsia="標楷體" w:hAnsi="Times New Roman" w:cs="新細明體"/>
      <w:b/>
      <w:bCs/>
      <w:kern w:val="0"/>
      <w:sz w:val="20"/>
      <w:szCs w:val="20"/>
    </w:rPr>
  </w:style>
  <w:style w:type="paragraph" w:styleId="a7">
    <w:name w:val="table of figures"/>
    <w:basedOn w:val="a0"/>
    <w:next w:val="a0"/>
    <w:uiPriority w:val="99"/>
    <w:unhideWhenUsed/>
    <w:rsid w:val="004B3764"/>
    <w:pPr>
      <w:widowControl/>
      <w:wordWrap w:val="0"/>
      <w:topLinePunct/>
      <w:spacing w:line="360" w:lineRule="auto"/>
    </w:pPr>
    <w:rPr>
      <w:rFonts w:ascii="Times New Roman" w:eastAsia="標楷體" w:hAnsi="Times New Roman"/>
    </w:rPr>
  </w:style>
  <w:style w:type="paragraph" w:styleId="a8">
    <w:name w:val="caption"/>
    <w:basedOn w:val="a0"/>
    <w:next w:val="a0"/>
    <w:uiPriority w:val="35"/>
    <w:unhideWhenUsed/>
    <w:qFormat/>
    <w:rsid w:val="004B3764"/>
    <w:pPr>
      <w:widowControl/>
      <w:wordWrap w:val="0"/>
      <w:topLinePunct/>
      <w:jc w:val="center"/>
    </w:pPr>
    <w:rPr>
      <w:rFonts w:ascii="Times New Roman" w:eastAsia="標楷體" w:hAnsi="Times New Roman"/>
      <w:sz w:val="22"/>
      <w:szCs w:val="20"/>
    </w:rPr>
  </w:style>
  <w:style w:type="character" w:customStyle="1" w:styleId="10">
    <w:name w:val="標題 1 字元"/>
    <w:basedOn w:val="a1"/>
    <w:link w:val="1"/>
    <w:uiPriority w:val="9"/>
    <w:rsid w:val="004B3764"/>
    <w:rPr>
      <w:rFonts w:ascii="Times New Roman" w:eastAsia="標楷體" w:hAnsi="Times New Roman" w:cstheme="majorBidi"/>
      <w:b/>
      <w:bCs/>
      <w:kern w:val="52"/>
      <w:sz w:val="40"/>
      <w:szCs w:val="52"/>
    </w:rPr>
  </w:style>
  <w:style w:type="character" w:customStyle="1" w:styleId="20">
    <w:name w:val="標題 2 字元"/>
    <w:basedOn w:val="a1"/>
    <w:link w:val="2"/>
    <w:uiPriority w:val="9"/>
    <w:rsid w:val="004B3764"/>
    <w:rPr>
      <w:rFonts w:ascii="Times New Roman" w:eastAsia="標楷體" w:hAnsi="Times New Roman" w:cstheme="majorBidi"/>
      <w:b/>
      <w:bCs/>
      <w:kern w:val="0"/>
      <w:sz w:val="36"/>
      <w:szCs w:val="48"/>
    </w:rPr>
  </w:style>
  <w:style w:type="character" w:customStyle="1" w:styleId="30">
    <w:name w:val="標題 3 字元"/>
    <w:basedOn w:val="a1"/>
    <w:link w:val="3"/>
    <w:uiPriority w:val="9"/>
    <w:rsid w:val="004B3764"/>
    <w:rPr>
      <w:rFonts w:ascii="Times New Roman" w:eastAsia="標楷體" w:hAnsi="Times New Roman" w:cstheme="majorBidi"/>
      <w:b/>
      <w:bCs/>
      <w:kern w:val="0"/>
      <w:sz w:val="32"/>
      <w:szCs w:val="36"/>
    </w:rPr>
  </w:style>
  <w:style w:type="character" w:customStyle="1" w:styleId="40">
    <w:name w:val="標題 4 字元"/>
    <w:basedOn w:val="a1"/>
    <w:link w:val="4"/>
    <w:rsid w:val="004B3764"/>
    <w:rPr>
      <w:rFonts w:ascii="Times New Roman" w:eastAsia="標楷體" w:hAnsi="Times New Roman" w:cstheme="majorBidi"/>
      <w:sz w:val="28"/>
      <w:szCs w:val="36"/>
    </w:rPr>
  </w:style>
  <w:style w:type="paragraph" w:customStyle="1" w:styleId="a">
    <w:name w:val="編號"/>
    <w:basedOn w:val="a0"/>
    <w:qFormat/>
    <w:rsid w:val="00264083"/>
    <w:pPr>
      <w:widowControl/>
      <w:numPr>
        <w:numId w:val="6"/>
      </w:numPr>
      <w:wordWrap w:val="0"/>
      <w:topLinePunct/>
      <w:spacing w:beforeLines="50" w:before="50" w:afterLines="50" w:after="50" w:line="360" w:lineRule="auto"/>
    </w:pPr>
    <w:rPr>
      <w:rFonts w:ascii="Times New Roman" w:eastAsia="標楷體" w:hAnsi="Times New Roman"/>
    </w:rPr>
  </w:style>
  <w:style w:type="paragraph" w:styleId="a9">
    <w:name w:val="header"/>
    <w:basedOn w:val="a0"/>
    <w:link w:val="aa"/>
    <w:uiPriority w:val="99"/>
    <w:unhideWhenUsed/>
    <w:rsid w:val="00E649E1"/>
    <w:pPr>
      <w:tabs>
        <w:tab w:val="center" w:pos="4153"/>
        <w:tab w:val="right" w:pos="8306"/>
      </w:tabs>
      <w:snapToGrid w:val="0"/>
    </w:pPr>
    <w:rPr>
      <w:sz w:val="20"/>
      <w:szCs w:val="20"/>
    </w:rPr>
  </w:style>
  <w:style w:type="character" w:customStyle="1" w:styleId="aa">
    <w:name w:val="頁首 字元"/>
    <w:basedOn w:val="a1"/>
    <w:link w:val="a9"/>
    <w:uiPriority w:val="99"/>
    <w:rsid w:val="00E649E1"/>
    <w:rPr>
      <w:sz w:val="20"/>
      <w:szCs w:val="20"/>
    </w:rPr>
  </w:style>
  <w:style w:type="paragraph" w:styleId="ab">
    <w:name w:val="footer"/>
    <w:basedOn w:val="a0"/>
    <w:link w:val="ac"/>
    <w:uiPriority w:val="99"/>
    <w:unhideWhenUsed/>
    <w:rsid w:val="00E649E1"/>
    <w:pPr>
      <w:tabs>
        <w:tab w:val="center" w:pos="4153"/>
        <w:tab w:val="right" w:pos="8306"/>
      </w:tabs>
      <w:snapToGrid w:val="0"/>
    </w:pPr>
    <w:rPr>
      <w:sz w:val="20"/>
      <w:szCs w:val="20"/>
    </w:rPr>
  </w:style>
  <w:style w:type="character" w:customStyle="1" w:styleId="ac">
    <w:name w:val="頁尾 字元"/>
    <w:basedOn w:val="a1"/>
    <w:link w:val="ab"/>
    <w:uiPriority w:val="99"/>
    <w:rsid w:val="00E649E1"/>
    <w:rPr>
      <w:sz w:val="20"/>
      <w:szCs w:val="20"/>
    </w:rPr>
  </w:style>
  <w:style w:type="paragraph" w:styleId="Web">
    <w:name w:val="Normal (Web)"/>
    <w:basedOn w:val="a0"/>
    <w:uiPriority w:val="99"/>
    <w:semiHidden/>
    <w:unhideWhenUsed/>
    <w:rsid w:val="007A4AA1"/>
    <w:pPr>
      <w:widowControl/>
      <w:spacing w:before="100" w:beforeAutospacing="1" w:after="100" w:afterAutospacing="1"/>
    </w:pPr>
    <w:rPr>
      <w:rFonts w:ascii="新細明體" w:eastAsia="新細明體" w:hAnsi="新細明體" w:cs="新細明體"/>
      <w:kern w:val="0"/>
      <w:szCs w:val="24"/>
    </w:rPr>
  </w:style>
  <w:style w:type="table" w:styleId="ad">
    <w:name w:val="Table Grid"/>
    <w:basedOn w:val="a2"/>
    <w:uiPriority w:val="39"/>
    <w:rsid w:val="00770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rsid w:val="00571B9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pPr>
    <w:rPr>
      <w:rFonts w:ascii="細明體" w:eastAsia="細明體" w:hAnsi="細明體" w:cs="細明體"/>
      <w:kern w:val="0"/>
    </w:rPr>
  </w:style>
  <w:style w:type="character" w:customStyle="1" w:styleId="HTML0">
    <w:name w:val="HTML 預設格式 字元"/>
    <w:basedOn w:val="a1"/>
    <w:link w:val="HTML"/>
    <w:rsid w:val="00571B95"/>
    <w:rPr>
      <w:rFonts w:ascii="細明體" w:eastAsia="細明體" w:hAnsi="細明體" w:cs="細明體"/>
      <w:kern w:val="0"/>
    </w:rPr>
  </w:style>
  <w:style w:type="paragraph" w:styleId="ae">
    <w:name w:val="List Paragraph"/>
    <w:basedOn w:val="a0"/>
    <w:uiPriority w:val="34"/>
    <w:qFormat/>
    <w:rsid w:val="00BB4576"/>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46696-2292-4747-83A2-A1A44CA92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13</Pages>
  <Words>1312</Words>
  <Characters>7482</Characters>
  <Application>Microsoft Office Word</Application>
  <DocSecurity>0</DocSecurity>
  <Lines>62</Lines>
  <Paragraphs>17</Paragraphs>
  <ScaleCrop>false</ScaleCrop>
  <Company/>
  <LinksUpToDate>false</LinksUpToDate>
  <CharactersWithSpaces>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Sammi</dc:creator>
  <cp:keywords/>
  <dc:description/>
  <cp:lastModifiedBy>user</cp:lastModifiedBy>
  <cp:revision>1</cp:revision>
  <dcterms:created xsi:type="dcterms:W3CDTF">2015-11-24T04:11:00Z</dcterms:created>
  <dcterms:modified xsi:type="dcterms:W3CDTF">2015-11-27T01:21:00Z</dcterms:modified>
  <cp:version>2016</cp:version>
</cp:coreProperties>
</file>